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2BA0E" w14:textId="7D24491A" w:rsidR="00CF6A75" w:rsidRPr="0028364C" w:rsidRDefault="00CF6A75" w:rsidP="00CF6A75">
      <w:pPr>
        <w:tabs>
          <w:tab w:val="left" w:pos="993"/>
        </w:tabs>
        <w:ind w:left="-284" w:right="-284"/>
        <w:jc w:val="center"/>
        <w:rPr>
          <w:rFonts w:ascii="Times New Roman" w:hAnsi="Times New Roman" w:cs="Times New Roman"/>
        </w:rPr>
      </w:pPr>
      <w:r w:rsidRPr="0028364C">
        <w:rPr>
          <w:rFonts w:ascii="Times New Roman" w:hAnsi="Times New Roman" w:cs="Times New Roman"/>
        </w:rPr>
        <w:t xml:space="preserve">A DUNA TAKARÉK BANK Zrt. </w:t>
      </w:r>
      <w:r w:rsidR="0051160D" w:rsidRPr="0028364C">
        <w:rPr>
          <w:rFonts w:ascii="Times New Roman" w:hAnsi="Times New Roman" w:cs="Times New Roman"/>
        </w:rPr>
        <w:t>Felügyelőbizottsága</w:t>
      </w:r>
      <w:r w:rsidR="00214F78">
        <w:rPr>
          <w:rFonts w:ascii="Times New Roman" w:hAnsi="Times New Roman" w:cs="Times New Roman"/>
        </w:rPr>
        <w:t xml:space="preserve"> által</w:t>
      </w:r>
      <w:r w:rsidR="009149BC">
        <w:rPr>
          <w:rFonts w:ascii="Times New Roman" w:hAnsi="Times New Roman" w:cs="Times New Roman"/>
        </w:rPr>
        <w:t xml:space="preserve"> jóváhagyott</w:t>
      </w:r>
      <w:r w:rsidR="00214F78">
        <w:rPr>
          <w:rFonts w:ascii="Times New Roman" w:hAnsi="Times New Roman" w:cs="Times New Roman"/>
        </w:rPr>
        <w:t xml:space="preserve"> </w:t>
      </w:r>
      <w:r w:rsidR="00AC7C2E">
        <w:rPr>
          <w:rFonts w:ascii="Times New Roman" w:hAnsi="Times New Roman" w:cs="Times New Roman"/>
        </w:rPr>
        <w:t>85</w:t>
      </w:r>
      <w:r w:rsidR="0088331C">
        <w:rPr>
          <w:rFonts w:ascii="Times New Roman" w:hAnsi="Times New Roman" w:cs="Times New Roman"/>
        </w:rPr>
        <w:t>/2021/FB</w:t>
      </w:r>
      <w:r w:rsidR="004A228C">
        <w:rPr>
          <w:rFonts w:ascii="Times New Roman" w:hAnsi="Times New Roman" w:cs="Times New Roman"/>
        </w:rPr>
        <w:t xml:space="preserve"> sz.</w:t>
      </w:r>
      <w:r w:rsidRPr="0028364C">
        <w:rPr>
          <w:rFonts w:ascii="Times New Roman" w:hAnsi="Times New Roman" w:cs="Times New Roman"/>
        </w:rPr>
        <w:t xml:space="preserve"> szabályzat</w:t>
      </w:r>
    </w:p>
    <w:p w14:paraId="70A890E9" w14:textId="77777777" w:rsidR="005951B2" w:rsidRPr="0028364C" w:rsidRDefault="005951B2" w:rsidP="00901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C3515" w14:textId="77777777" w:rsidR="009010ED" w:rsidRPr="0028364C" w:rsidRDefault="009010ED" w:rsidP="009010E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E1D129C" w14:textId="77777777" w:rsidR="009010ED" w:rsidRPr="0028364C" w:rsidRDefault="009010ED" w:rsidP="00F01E55">
      <w:pPr>
        <w:rPr>
          <w:rFonts w:ascii="Times New Roman" w:hAnsi="Times New Roman" w:cs="Times New Roman"/>
          <w:b/>
          <w:sz w:val="44"/>
          <w:szCs w:val="44"/>
        </w:rPr>
      </w:pPr>
    </w:p>
    <w:p w14:paraId="6C5FDC69" w14:textId="77777777" w:rsidR="005951B2" w:rsidRPr="0028364C" w:rsidRDefault="005951B2" w:rsidP="00F01E55">
      <w:pPr>
        <w:rPr>
          <w:rFonts w:ascii="Times New Roman" w:hAnsi="Times New Roman" w:cs="Times New Roman"/>
          <w:b/>
          <w:sz w:val="44"/>
          <w:szCs w:val="44"/>
        </w:rPr>
      </w:pPr>
    </w:p>
    <w:p w14:paraId="34979E28" w14:textId="77777777" w:rsidR="00B37012" w:rsidRPr="0028364C" w:rsidRDefault="009010ED" w:rsidP="009010E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8364C">
        <w:rPr>
          <w:rFonts w:ascii="Times New Roman" w:hAnsi="Times New Roman" w:cs="Times New Roman"/>
          <w:b/>
          <w:sz w:val="44"/>
          <w:szCs w:val="44"/>
        </w:rPr>
        <w:t>Duna Takarék Bank Zrt.</w:t>
      </w:r>
    </w:p>
    <w:p w14:paraId="379B41AB" w14:textId="77777777" w:rsidR="009010ED" w:rsidRPr="0028364C" w:rsidRDefault="009010ED" w:rsidP="009010E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8364C">
        <w:rPr>
          <w:rFonts w:ascii="Times New Roman" w:hAnsi="Times New Roman" w:cs="Times New Roman"/>
          <w:b/>
          <w:sz w:val="44"/>
          <w:szCs w:val="44"/>
        </w:rPr>
        <w:t>Javadalmazási Politika</w:t>
      </w:r>
    </w:p>
    <w:p w14:paraId="5A330E7E" w14:textId="77777777" w:rsidR="009010ED" w:rsidRPr="0028364C" w:rsidRDefault="009010ED">
      <w:pPr>
        <w:rPr>
          <w:rFonts w:ascii="Times New Roman" w:hAnsi="Times New Roman" w:cs="Times New Roman"/>
          <w:sz w:val="24"/>
          <w:szCs w:val="24"/>
        </w:rPr>
      </w:pPr>
    </w:p>
    <w:p w14:paraId="73BFDBA6" w14:textId="77777777" w:rsidR="009010ED" w:rsidRPr="0028364C" w:rsidRDefault="009010ED">
      <w:pPr>
        <w:rPr>
          <w:rFonts w:ascii="Times New Roman" w:hAnsi="Times New Roman" w:cs="Times New Roman"/>
          <w:sz w:val="24"/>
          <w:szCs w:val="24"/>
        </w:rPr>
      </w:pPr>
    </w:p>
    <w:p w14:paraId="225A7461" w14:textId="77777777" w:rsidR="009010ED" w:rsidRPr="0028364C" w:rsidRDefault="00003C88">
      <w:pPr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48D02317" wp14:editId="73DF1566">
            <wp:simplePos x="0" y="0"/>
            <wp:positionH relativeFrom="column">
              <wp:posOffset>986155</wp:posOffset>
            </wp:positionH>
            <wp:positionV relativeFrom="paragraph">
              <wp:posOffset>142875</wp:posOffset>
            </wp:positionV>
            <wp:extent cx="3695700" cy="923925"/>
            <wp:effectExtent l="19050" t="0" r="0" b="0"/>
            <wp:wrapSquare wrapText="bothSides"/>
            <wp:docPr id="1" name="Kép 2" descr="F:\kozpont\informatika\Dokumentumok\logo\011AS725_4_DTB logó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ozpont\informatika\Dokumentumok\logo\011AS725_4_DTB logó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2F777F" w14:textId="77777777" w:rsidR="009010ED" w:rsidRPr="0028364C" w:rsidRDefault="009010ED">
      <w:pPr>
        <w:rPr>
          <w:rFonts w:ascii="Times New Roman" w:hAnsi="Times New Roman" w:cs="Times New Roman"/>
          <w:sz w:val="24"/>
          <w:szCs w:val="24"/>
        </w:rPr>
      </w:pPr>
    </w:p>
    <w:p w14:paraId="4F07F6D6" w14:textId="77777777" w:rsidR="009010ED" w:rsidRPr="0028364C" w:rsidRDefault="009010ED">
      <w:pPr>
        <w:rPr>
          <w:rFonts w:ascii="Times New Roman" w:hAnsi="Times New Roman" w:cs="Times New Roman"/>
          <w:sz w:val="24"/>
          <w:szCs w:val="24"/>
        </w:rPr>
      </w:pPr>
    </w:p>
    <w:p w14:paraId="7F955651" w14:textId="77777777" w:rsidR="009010ED" w:rsidRPr="0028364C" w:rsidRDefault="009010ED">
      <w:pPr>
        <w:rPr>
          <w:rFonts w:ascii="Times New Roman" w:hAnsi="Times New Roman" w:cs="Times New Roman"/>
          <w:sz w:val="24"/>
          <w:szCs w:val="24"/>
        </w:rPr>
      </w:pPr>
    </w:p>
    <w:p w14:paraId="1F1D6BD2" w14:textId="77777777" w:rsidR="009010ED" w:rsidRPr="0028364C" w:rsidRDefault="009010ED">
      <w:pPr>
        <w:rPr>
          <w:rFonts w:ascii="Times New Roman" w:hAnsi="Times New Roman" w:cs="Times New Roman"/>
          <w:sz w:val="24"/>
          <w:szCs w:val="24"/>
        </w:rPr>
      </w:pPr>
    </w:p>
    <w:p w14:paraId="46BE1DA6" w14:textId="77777777" w:rsidR="009010ED" w:rsidRPr="0028364C" w:rsidRDefault="009010ED">
      <w:pPr>
        <w:rPr>
          <w:rFonts w:ascii="Times New Roman" w:hAnsi="Times New Roman" w:cs="Times New Roman"/>
          <w:sz w:val="24"/>
          <w:szCs w:val="24"/>
        </w:rPr>
      </w:pPr>
    </w:p>
    <w:p w14:paraId="0684324A" w14:textId="77777777" w:rsidR="009010ED" w:rsidRPr="0028364C" w:rsidRDefault="009010ED" w:rsidP="009010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89F137" w14:textId="58830CF9" w:rsidR="00AA3F2C" w:rsidRPr="0028364C" w:rsidRDefault="00AA3F2C" w:rsidP="00AA3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64C">
        <w:rPr>
          <w:rFonts w:ascii="Times New Roman" w:hAnsi="Times New Roman" w:cs="Times New Roman"/>
          <w:b/>
          <w:sz w:val="28"/>
          <w:szCs w:val="28"/>
        </w:rPr>
        <w:t xml:space="preserve">Hatályos: </w:t>
      </w:r>
      <w:r w:rsidR="0088331C">
        <w:rPr>
          <w:rFonts w:ascii="Times New Roman" w:hAnsi="Times New Roman" w:cs="Times New Roman"/>
          <w:sz w:val="28"/>
          <w:szCs w:val="28"/>
        </w:rPr>
        <w:t xml:space="preserve">2021. </w:t>
      </w:r>
      <w:r w:rsidR="004A228C">
        <w:rPr>
          <w:rFonts w:ascii="Times New Roman" w:hAnsi="Times New Roman" w:cs="Times New Roman"/>
          <w:sz w:val="28"/>
          <w:szCs w:val="28"/>
        </w:rPr>
        <w:t>július 01-től</w:t>
      </w:r>
    </w:p>
    <w:p w14:paraId="7EF78486" w14:textId="77777777" w:rsidR="009010ED" w:rsidRPr="0028364C" w:rsidRDefault="009010ED" w:rsidP="009010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A3F5B2" w14:textId="77777777" w:rsidR="009010ED" w:rsidRPr="0028364C" w:rsidRDefault="009010ED" w:rsidP="009010ED">
      <w:pPr>
        <w:rPr>
          <w:rFonts w:ascii="Times New Roman" w:hAnsi="Times New Roman" w:cs="Times New Roman"/>
          <w:b/>
          <w:sz w:val="28"/>
          <w:szCs w:val="28"/>
        </w:rPr>
      </w:pPr>
    </w:p>
    <w:p w14:paraId="4515B8F5" w14:textId="77777777" w:rsidR="00E70012" w:rsidRPr="0028364C" w:rsidRDefault="00E70012" w:rsidP="009010ED">
      <w:pPr>
        <w:rPr>
          <w:rFonts w:ascii="Times New Roman" w:hAnsi="Times New Roman" w:cs="Times New Roman"/>
          <w:b/>
          <w:sz w:val="28"/>
          <w:szCs w:val="28"/>
        </w:rPr>
      </w:pPr>
    </w:p>
    <w:p w14:paraId="6D655C41" w14:textId="77777777" w:rsidR="00E70012" w:rsidRPr="0028364C" w:rsidRDefault="00E70012" w:rsidP="009010ED">
      <w:pPr>
        <w:rPr>
          <w:rFonts w:ascii="Times New Roman" w:hAnsi="Times New Roman" w:cs="Times New Roman"/>
          <w:b/>
          <w:sz w:val="28"/>
          <w:szCs w:val="28"/>
        </w:rPr>
      </w:pPr>
    </w:p>
    <w:p w14:paraId="64910DDE" w14:textId="77777777" w:rsidR="00E70012" w:rsidRPr="0028364C" w:rsidRDefault="00E70012" w:rsidP="009010ED">
      <w:pPr>
        <w:rPr>
          <w:rFonts w:ascii="Times New Roman" w:hAnsi="Times New Roman" w:cs="Times New Roman"/>
          <w:b/>
          <w:sz w:val="28"/>
          <w:szCs w:val="28"/>
        </w:rPr>
      </w:pPr>
    </w:p>
    <w:p w14:paraId="2BCDD8FD" w14:textId="77777777" w:rsidR="00E70012" w:rsidRPr="0028364C" w:rsidRDefault="00E70012" w:rsidP="00E70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b/>
          <w:sz w:val="28"/>
          <w:szCs w:val="28"/>
        </w:rPr>
        <w:tab/>
      </w:r>
      <w:r w:rsidRPr="0028364C">
        <w:rPr>
          <w:rFonts w:ascii="Times New Roman" w:hAnsi="Times New Roman" w:cs="Times New Roman"/>
          <w:b/>
          <w:sz w:val="28"/>
          <w:szCs w:val="28"/>
        </w:rPr>
        <w:tab/>
      </w:r>
      <w:r w:rsidRPr="0028364C">
        <w:rPr>
          <w:rFonts w:ascii="Times New Roman" w:hAnsi="Times New Roman" w:cs="Times New Roman"/>
          <w:b/>
          <w:sz w:val="28"/>
          <w:szCs w:val="28"/>
        </w:rPr>
        <w:tab/>
      </w:r>
      <w:r w:rsidRPr="0028364C">
        <w:rPr>
          <w:rFonts w:ascii="Times New Roman" w:hAnsi="Times New Roman" w:cs="Times New Roman"/>
          <w:b/>
          <w:sz w:val="28"/>
          <w:szCs w:val="28"/>
        </w:rPr>
        <w:tab/>
      </w:r>
      <w:r w:rsidRPr="0028364C">
        <w:rPr>
          <w:rFonts w:ascii="Times New Roman" w:hAnsi="Times New Roman" w:cs="Times New Roman"/>
          <w:b/>
          <w:sz w:val="28"/>
          <w:szCs w:val="28"/>
        </w:rPr>
        <w:tab/>
      </w:r>
      <w:r w:rsidRPr="0028364C">
        <w:rPr>
          <w:rFonts w:ascii="Times New Roman" w:hAnsi="Times New Roman" w:cs="Times New Roman"/>
          <w:b/>
          <w:sz w:val="28"/>
          <w:szCs w:val="28"/>
        </w:rPr>
        <w:tab/>
      </w:r>
      <w:r w:rsidRPr="0028364C">
        <w:rPr>
          <w:rFonts w:ascii="Times New Roman" w:hAnsi="Times New Roman" w:cs="Times New Roman"/>
          <w:b/>
          <w:sz w:val="28"/>
          <w:szCs w:val="28"/>
        </w:rPr>
        <w:tab/>
      </w:r>
      <w:r w:rsidRPr="0028364C">
        <w:rPr>
          <w:rFonts w:ascii="Times New Roman" w:hAnsi="Times New Roman" w:cs="Times New Roman"/>
          <w:b/>
          <w:sz w:val="28"/>
          <w:szCs w:val="28"/>
        </w:rPr>
        <w:tab/>
      </w:r>
      <w:r w:rsidRPr="0028364C">
        <w:rPr>
          <w:rFonts w:ascii="Times New Roman" w:hAnsi="Times New Roman" w:cs="Times New Roman"/>
          <w:b/>
          <w:sz w:val="28"/>
          <w:szCs w:val="28"/>
        </w:rPr>
        <w:tab/>
      </w:r>
      <w:r w:rsidRPr="0028364C">
        <w:rPr>
          <w:rFonts w:ascii="Times New Roman" w:hAnsi="Times New Roman" w:cs="Times New Roman"/>
          <w:b/>
          <w:sz w:val="28"/>
          <w:szCs w:val="28"/>
        </w:rPr>
        <w:tab/>
      </w:r>
      <w:r w:rsidRPr="0028364C">
        <w:rPr>
          <w:rFonts w:ascii="Times New Roman" w:hAnsi="Times New Roman" w:cs="Times New Roman"/>
          <w:sz w:val="24"/>
          <w:szCs w:val="24"/>
        </w:rPr>
        <w:t>Csicsáky Péter</w:t>
      </w:r>
    </w:p>
    <w:p w14:paraId="130A2580" w14:textId="77777777" w:rsidR="00E70012" w:rsidRPr="0028364C" w:rsidRDefault="00E70012" w:rsidP="009010ED">
      <w:pPr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ab/>
      </w:r>
      <w:r w:rsidRPr="0028364C">
        <w:rPr>
          <w:rFonts w:ascii="Times New Roman" w:hAnsi="Times New Roman" w:cs="Times New Roman"/>
          <w:sz w:val="24"/>
          <w:szCs w:val="24"/>
        </w:rPr>
        <w:tab/>
      </w:r>
      <w:r w:rsidRPr="0028364C">
        <w:rPr>
          <w:rFonts w:ascii="Times New Roman" w:hAnsi="Times New Roman" w:cs="Times New Roman"/>
          <w:sz w:val="24"/>
          <w:szCs w:val="24"/>
        </w:rPr>
        <w:tab/>
      </w:r>
      <w:r w:rsidRPr="0028364C">
        <w:rPr>
          <w:rFonts w:ascii="Times New Roman" w:hAnsi="Times New Roman" w:cs="Times New Roman"/>
          <w:sz w:val="24"/>
          <w:szCs w:val="24"/>
        </w:rPr>
        <w:tab/>
      </w:r>
      <w:r w:rsidRPr="0028364C">
        <w:rPr>
          <w:rFonts w:ascii="Times New Roman" w:hAnsi="Times New Roman" w:cs="Times New Roman"/>
          <w:sz w:val="24"/>
          <w:szCs w:val="24"/>
        </w:rPr>
        <w:tab/>
      </w:r>
      <w:r w:rsidRPr="0028364C">
        <w:rPr>
          <w:rFonts w:ascii="Times New Roman" w:hAnsi="Times New Roman" w:cs="Times New Roman"/>
          <w:sz w:val="24"/>
          <w:szCs w:val="24"/>
        </w:rPr>
        <w:tab/>
      </w:r>
      <w:r w:rsidRPr="0028364C">
        <w:rPr>
          <w:rFonts w:ascii="Times New Roman" w:hAnsi="Times New Roman" w:cs="Times New Roman"/>
          <w:sz w:val="24"/>
          <w:szCs w:val="24"/>
        </w:rPr>
        <w:tab/>
      </w:r>
      <w:r w:rsidRPr="0028364C">
        <w:rPr>
          <w:rFonts w:ascii="Times New Roman" w:hAnsi="Times New Roman" w:cs="Times New Roman"/>
          <w:sz w:val="24"/>
          <w:szCs w:val="24"/>
        </w:rPr>
        <w:tab/>
      </w:r>
      <w:r w:rsidRPr="0028364C">
        <w:rPr>
          <w:rFonts w:ascii="Times New Roman" w:hAnsi="Times New Roman" w:cs="Times New Roman"/>
          <w:sz w:val="24"/>
          <w:szCs w:val="24"/>
        </w:rPr>
        <w:tab/>
      </w:r>
      <w:r w:rsidRPr="0028364C">
        <w:rPr>
          <w:rFonts w:ascii="Times New Roman" w:hAnsi="Times New Roman" w:cs="Times New Roman"/>
          <w:sz w:val="24"/>
          <w:szCs w:val="24"/>
        </w:rPr>
        <w:tab/>
        <w:t>vezérigazgató</w:t>
      </w:r>
    </w:p>
    <w:p w14:paraId="074D4CD6" w14:textId="77777777" w:rsidR="00E70012" w:rsidRPr="0028364C" w:rsidRDefault="00E70012" w:rsidP="009010ED">
      <w:pPr>
        <w:rPr>
          <w:rFonts w:ascii="Times New Roman" w:hAnsi="Times New Roman" w:cs="Times New Roman"/>
          <w:sz w:val="24"/>
          <w:szCs w:val="24"/>
        </w:rPr>
      </w:pPr>
    </w:p>
    <w:p w14:paraId="3B895D19" w14:textId="77777777" w:rsidR="00E70012" w:rsidRDefault="00E70012" w:rsidP="009010ED">
      <w:pPr>
        <w:rPr>
          <w:rFonts w:ascii="Times New Roman" w:hAnsi="Times New Roman" w:cs="Times New Roman"/>
          <w:sz w:val="24"/>
          <w:szCs w:val="24"/>
        </w:rPr>
      </w:pPr>
    </w:p>
    <w:p w14:paraId="58B02B7B" w14:textId="77777777" w:rsidR="008C62D8" w:rsidRDefault="008C62D8" w:rsidP="009010ED">
      <w:pPr>
        <w:rPr>
          <w:rFonts w:ascii="Times New Roman" w:hAnsi="Times New Roman" w:cs="Times New Roman"/>
          <w:sz w:val="24"/>
          <w:szCs w:val="24"/>
        </w:rPr>
      </w:pPr>
    </w:p>
    <w:p w14:paraId="7980E426" w14:textId="77777777" w:rsidR="008C62D8" w:rsidRDefault="008C62D8" w:rsidP="009010E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1482"/>
        <w:gridCol w:w="3239"/>
        <w:gridCol w:w="2674"/>
        <w:gridCol w:w="2197"/>
      </w:tblGrid>
      <w:tr w:rsidR="008C62D8" w14:paraId="10487FB6" w14:textId="77777777" w:rsidTr="00DA498F">
        <w:trPr>
          <w:trHeight w:val="444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9C24" w14:textId="77777777" w:rsidR="008C62D8" w:rsidRDefault="008C62D8" w:rsidP="003403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Szabályozási dok.  nyilv.tart. száma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CB4D" w14:textId="77777777" w:rsidR="008C62D8" w:rsidRDefault="008C62D8" w:rsidP="003403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Hatályba lépés időpontja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019E" w14:textId="77777777" w:rsidR="008C62D8" w:rsidRDefault="008C62D8" w:rsidP="003403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Szabályozási dokumentum készítésért/felülvizsgálatáért/módosításáért felelős Szakterület/Osztály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F086" w14:textId="14023D7C" w:rsidR="008C62D8" w:rsidRDefault="008C62D8" w:rsidP="003403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ÜV/VÉ/IG</w:t>
            </w:r>
            <w:r w:rsidR="00D82A18">
              <w:rPr>
                <w:color w:val="000000"/>
                <w:sz w:val="18"/>
                <w:szCs w:val="18"/>
              </w:rPr>
              <w:t>/FB</w:t>
            </w:r>
            <w:r>
              <w:rPr>
                <w:color w:val="000000"/>
                <w:sz w:val="18"/>
                <w:szCs w:val="18"/>
              </w:rPr>
              <w:t xml:space="preserve"> határozat száma (Amennyiben a szabályzat készítése/ módosítása/felülvizsgálata ÜV/VÉ/IG</w:t>
            </w:r>
            <w:r w:rsidR="00D82A18">
              <w:rPr>
                <w:color w:val="000000"/>
                <w:sz w:val="18"/>
                <w:szCs w:val="18"/>
              </w:rPr>
              <w:t>/FB</w:t>
            </w:r>
            <w:r>
              <w:rPr>
                <w:color w:val="000000"/>
                <w:sz w:val="18"/>
                <w:szCs w:val="18"/>
              </w:rPr>
              <w:t xml:space="preserve"> jóváhagyásához kötött)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34B2" w14:textId="77777777" w:rsidR="008C62D8" w:rsidRDefault="008C62D8" w:rsidP="003403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kiadással egyidőben hatályon kívül helyezett dokumentum nyilv.tartási száma</w:t>
            </w:r>
          </w:p>
        </w:tc>
      </w:tr>
      <w:tr w:rsidR="008C62D8" w14:paraId="0DE37AFC" w14:textId="77777777" w:rsidTr="00DA498F">
        <w:trPr>
          <w:trHeight w:val="720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28E9" w14:textId="6AF1D934" w:rsidR="008C62D8" w:rsidRPr="00DA498F" w:rsidRDefault="008C62D8" w:rsidP="00340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8F">
              <w:rPr>
                <w:rFonts w:ascii="Times New Roman" w:hAnsi="Times New Roman" w:cs="Times New Roman"/>
                <w:sz w:val="20"/>
                <w:szCs w:val="20"/>
              </w:rPr>
              <w:t>99/2015/FB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5AE0" w14:textId="44136073" w:rsidR="008C62D8" w:rsidRPr="00DA498F" w:rsidRDefault="008C62D8" w:rsidP="008C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2015.12.22.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E9F6" w14:textId="2DBA43CA" w:rsidR="008C62D8" w:rsidRPr="00DA498F" w:rsidRDefault="00DA498F" w:rsidP="003403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Compliance Officer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711C" w14:textId="6AA798EA" w:rsidR="008C62D8" w:rsidRPr="00DA498F" w:rsidRDefault="00D82A18" w:rsidP="003403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11/5/2015.(12.21.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FB hat.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2AD9" w14:textId="77777777" w:rsidR="008C62D8" w:rsidRPr="00DA498F" w:rsidRDefault="008C62D8" w:rsidP="003403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62D8" w14:paraId="601B3299" w14:textId="77777777" w:rsidTr="00DA498F">
        <w:trPr>
          <w:trHeight w:val="720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0000" w14:textId="1AF9DDA5" w:rsidR="008C62D8" w:rsidRPr="00DA498F" w:rsidRDefault="008C62D8" w:rsidP="008C6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98F">
              <w:rPr>
                <w:rFonts w:ascii="Times New Roman" w:hAnsi="Times New Roman" w:cs="Times New Roman"/>
                <w:sz w:val="20"/>
                <w:szCs w:val="20"/>
              </w:rPr>
              <w:t>43/2017/FB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D6B2" w14:textId="7EB8BC09" w:rsidR="008C62D8" w:rsidRPr="00DA498F" w:rsidRDefault="008C62D8" w:rsidP="008C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2017.07.01.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2435" w14:textId="5B26A0EA" w:rsidR="008C62D8" w:rsidRPr="00DA498F" w:rsidRDefault="008C62D8" w:rsidP="008C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 Osztály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F246" w14:textId="65823F8F" w:rsidR="008C62D8" w:rsidRPr="00DA498F" w:rsidRDefault="00D82A18" w:rsidP="008C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8/2017.(07.03.)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FB hat.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4C5C" w14:textId="7D45FAEA" w:rsidR="008C62D8" w:rsidRPr="00DA498F" w:rsidRDefault="008C62D8" w:rsidP="008C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98F">
              <w:rPr>
                <w:rFonts w:ascii="Times New Roman" w:hAnsi="Times New Roman" w:cs="Times New Roman"/>
                <w:sz w:val="20"/>
                <w:szCs w:val="20"/>
              </w:rPr>
              <w:t>99/2015/FB</w:t>
            </w:r>
          </w:p>
        </w:tc>
      </w:tr>
      <w:tr w:rsidR="008C62D8" w14:paraId="38AA1472" w14:textId="77777777" w:rsidTr="00DA498F">
        <w:trPr>
          <w:trHeight w:val="72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23F0" w14:textId="5583E17A" w:rsidR="008C62D8" w:rsidRPr="00DA498F" w:rsidRDefault="008C62D8" w:rsidP="008C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98F">
              <w:rPr>
                <w:rFonts w:ascii="Times New Roman" w:hAnsi="Times New Roman" w:cs="Times New Roman"/>
                <w:sz w:val="20"/>
                <w:szCs w:val="20"/>
              </w:rPr>
              <w:t>22/2018/FB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7837" w14:textId="7F27E3C2" w:rsidR="008C62D8" w:rsidRPr="00DA498F" w:rsidRDefault="008C62D8" w:rsidP="008C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2018.05.10.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C181" w14:textId="124E4442" w:rsidR="008C62D8" w:rsidRPr="00DA498F" w:rsidRDefault="008C62D8" w:rsidP="008C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 Osztály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3E85" w14:textId="2272DEB4" w:rsidR="008C62D8" w:rsidRPr="00DA498F" w:rsidRDefault="00D82A18" w:rsidP="008C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17/2/2018.(05.09.)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FB hat.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20D3" w14:textId="233231D1" w:rsidR="008C62D8" w:rsidRPr="00DA498F" w:rsidRDefault="00DA498F" w:rsidP="008C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98F">
              <w:rPr>
                <w:rFonts w:ascii="Times New Roman" w:hAnsi="Times New Roman" w:cs="Times New Roman"/>
                <w:sz w:val="20"/>
                <w:szCs w:val="20"/>
              </w:rPr>
              <w:t>43/2017/FB</w:t>
            </w:r>
          </w:p>
        </w:tc>
      </w:tr>
      <w:tr w:rsidR="00DA498F" w14:paraId="51A0D148" w14:textId="77777777" w:rsidTr="00DA498F">
        <w:trPr>
          <w:trHeight w:val="72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CCC5" w14:textId="648565DA" w:rsidR="00DA498F" w:rsidRPr="00DA498F" w:rsidRDefault="005531E9" w:rsidP="008C6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="00FC6753">
              <w:rPr>
                <w:rFonts w:ascii="Times New Roman" w:hAnsi="Times New Roman" w:cs="Times New Roman"/>
                <w:sz w:val="20"/>
                <w:szCs w:val="20"/>
              </w:rPr>
              <w:t>/2018/FB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5F88" w14:textId="517928FA" w:rsidR="00DA498F" w:rsidRPr="00DA498F" w:rsidRDefault="00FC6753" w:rsidP="008C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2018.11.08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C68F" w14:textId="7C041BCD" w:rsidR="00DA498F" w:rsidRPr="00DA498F" w:rsidRDefault="00DA498F" w:rsidP="008C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 Osztály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5A33" w14:textId="57FC9048" w:rsidR="00DA498F" w:rsidRPr="00DA498F" w:rsidRDefault="001C3EFE" w:rsidP="008C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671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/2018.(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EC3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771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FB hat.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5946" w14:textId="7AE32172" w:rsidR="00DA498F" w:rsidRPr="00DA498F" w:rsidRDefault="00DA498F" w:rsidP="008C62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98F">
              <w:rPr>
                <w:rFonts w:ascii="Times New Roman" w:hAnsi="Times New Roman" w:cs="Times New Roman"/>
                <w:sz w:val="20"/>
                <w:szCs w:val="20"/>
              </w:rPr>
              <w:t>22/2018/FB</w:t>
            </w:r>
          </w:p>
        </w:tc>
      </w:tr>
      <w:tr w:rsidR="000F4B51" w14:paraId="780DF2E9" w14:textId="77777777" w:rsidTr="00DA498F">
        <w:trPr>
          <w:trHeight w:val="72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D048" w14:textId="45C57279" w:rsidR="000F4B51" w:rsidRDefault="000F4B51" w:rsidP="000F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63/2019/FB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01DE" w14:textId="42C566C5" w:rsidR="000F4B51" w:rsidRDefault="000F4B51" w:rsidP="000F4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2019.09.02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85D5" w14:textId="2A04731A" w:rsidR="000F4B51" w:rsidRDefault="000F4B51" w:rsidP="000F4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 osztály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76A1" w14:textId="77777777" w:rsidR="000F4B51" w:rsidRPr="00D221B0" w:rsidRDefault="000F4B51" w:rsidP="000F4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30/2019.(08.28.) FB. hat.</w:t>
            </w:r>
          </w:p>
          <w:p w14:paraId="416EEA4F" w14:textId="77777777" w:rsidR="000F4B51" w:rsidRPr="00D221B0" w:rsidRDefault="000F4B51" w:rsidP="000F4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BFCD" w14:textId="7D93AB38" w:rsidR="000F4B51" w:rsidRDefault="000F4B51" w:rsidP="000F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121/2018/FB</w:t>
            </w:r>
          </w:p>
        </w:tc>
      </w:tr>
      <w:tr w:rsidR="000F4B51" w14:paraId="6C805E84" w14:textId="77777777" w:rsidTr="00DA498F">
        <w:trPr>
          <w:trHeight w:val="72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DC86" w14:textId="46634C06" w:rsidR="000F4B51" w:rsidRDefault="004B3383" w:rsidP="000F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0F4B51">
              <w:rPr>
                <w:rFonts w:ascii="Times New Roman" w:hAnsi="Times New Roman" w:cs="Times New Roman"/>
                <w:sz w:val="20"/>
                <w:szCs w:val="20"/>
              </w:rPr>
              <w:t>/2020/FB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AB3D" w14:textId="251C6E0B" w:rsidR="000F4B51" w:rsidRDefault="000F4B51" w:rsidP="000F4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2020.06.10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2398" w14:textId="4EB668A6" w:rsidR="000F4B51" w:rsidRPr="00DA498F" w:rsidRDefault="000F4B51" w:rsidP="000F4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 osztály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4F4A" w14:textId="20574325" w:rsidR="000F4B51" w:rsidRDefault="000F4B51" w:rsidP="000F4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40/2020 (05.28) FB. hat.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B841" w14:textId="46D97B2D" w:rsidR="000F4B51" w:rsidRPr="00DA498F" w:rsidRDefault="000F4B51" w:rsidP="000F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63/2019/FB</w:t>
            </w:r>
          </w:p>
        </w:tc>
      </w:tr>
      <w:tr w:rsidR="004A228C" w14:paraId="0EEE28B4" w14:textId="77777777" w:rsidTr="00DA498F">
        <w:trPr>
          <w:trHeight w:val="720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FEF1" w14:textId="619C4546" w:rsidR="004A228C" w:rsidRDefault="004A228C" w:rsidP="000F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85/2021/FB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5811" w14:textId="431A7E00" w:rsidR="004A228C" w:rsidRDefault="004A228C" w:rsidP="000F4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2021.07.01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48F7" w14:textId="6A608B3B" w:rsidR="004A228C" w:rsidRDefault="004A228C" w:rsidP="000F4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 osztály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D578" w14:textId="0CCC582E" w:rsidR="004A228C" w:rsidRDefault="004A228C" w:rsidP="000F4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17/2021.(06.17.)/FB. hat.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16BE" w14:textId="14CA5058" w:rsidR="004A228C" w:rsidRDefault="004A228C" w:rsidP="000F4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61/2020/FB</w:t>
            </w:r>
          </w:p>
        </w:tc>
      </w:tr>
    </w:tbl>
    <w:p w14:paraId="60BD772B" w14:textId="77777777" w:rsidR="008C62D8" w:rsidRDefault="008C62D8" w:rsidP="009010ED">
      <w:pPr>
        <w:rPr>
          <w:rFonts w:ascii="Times New Roman" w:hAnsi="Times New Roman" w:cs="Times New Roman"/>
          <w:sz w:val="24"/>
          <w:szCs w:val="24"/>
        </w:rPr>
      </w:pPr>
    </w:p>
    <w:p w14:paraId="4115A726" w14:textId="77777777" w:rsidR="00660D79" w:rsidRDefault="00660D79" w:rsidP="009010ED">
      <w:pPr>
        <w:rPr>
          <w:rFonts w:ascii="Times New Roman" w:hAnsi="Times New Roman" w:cs="Times New Roman"/>
          <w:sz w:val="24"/>
          <w:szCs w:val="24"/>
        </w:rPr>
      </w:pPr>
    </w:p>
    <w:p w14:paraId="76BA25DB" w14:textId="77777777" w:rsidR="00660D79" w:rsidRDefault="00660D79" w:rsidP="009010ED">
      <w:pPr>
        <w:rPr>
          <w:rFonts w:ascii="Times New Roman" w:hAnsi="Times New Roman" w:cs="Times New Roman"/>
          <w:sz w:val="24"/>
          <w:szCs w:val="24"/>
        </w:rPr>
      </w:pPr>
    </w:p>
    <w:p w14:paraId="5E4B4695" w14:textId="77777777" w:rsidR="00660D79" w:rsidRDefault="00660D79" w:rsidP="009010ED">
      <w:pPr>
        <w:rPr>
          <w:rFonts w:ascii="Times New Roman" w:hAnsi="Times New Roman" w:cs="Times New Roman"/>
          <w:sz w:val="24"/>
          <w:szCs w:val="24"/>
        </w:rPr>
      </w:pPr>
    </w:p>
    <w:p w14:paraId="08DF9E12" w14:textId="77777777" w:rsidR="00660D79" w:rsidRDefault="00660D79" w:rsidP="009010ED">
      <w:pPr>
        <w:rPr>
          <w:rFonts w:ascii="Times New Roman" w:hAnsi="Times New Roman" w:cs="Times New Roman"/>
          <w:sz w:val="24"/>
          <w:szCs w:val="24"/>
        </w:rPr>
      </w:pPr>
    </w:p>
    <w:p w14:paraId="05BFC726" w14:textId="77777777" w:rsidR="00660D79" w:rsidRDefault="00660D79" w:rsidP="009010ED">
      <w:pPr>
        <w:rPr>
          <w:rFonts w:ascii="Times New Roman" w:hAnsi="Times New Roman" w:cs="Times New Roman"/>
          <w:sz w:val="24"/>
          <w:szCs w:val="24"/>
        </w:rPr>
      </w:pPr>
    </w:p>
    <w:p w14:paraId="2947AF88" w14:textId="77777777" w:rsidR="00660D79" w:rsidRDefault="00660D79" w:rsidP="009010ED">
      <w:pPr>
        <w:rPr>
          <w:rFonts w:ascii="Times New Roman" w:hAnsi="Times New Roman" w:cs="Times New Roman"/>
          <w:sz w:val="24"/>
          <w:szCs w:val="24"/>
        </w:rPr>
      </w:pPr>
    </w:p>
    <w:p w14:paraId="3E25CD1F" w14:textId="77777777" w:rsidR="00660D79" w:rsidRDefault="00660D79" w:rsidP="009010ED">
      <w:pPr>
        <w:rPr>
          <w:rFonts w:ascii="Times New Roman" w:hAnsi="Times New Roman" w:cs="Times New Roman"/>
          <w:sz w:val="24"/>
          <w:szCs w:val="24"/>
        </w:rPr>
      </w:pPr>
    </w:p>
    <w:p w14:paraId="4B3AFA80" w14:textId="77777777" w:rsidR="00660D79" w:rsidRDefault="00660D79" w:rsidP="009010ED">
      <w:pPr>
        <w:rPr>
          <w:rFonts w:ascii="Times New Roman" w:hAnsi="Times New Roman" w:cs="Times New Roman"/>
          <w:sz w:val="24"/>
          <w:szCs w:val="24"/>
        </w:rPr>
      </w:pPr>
    </w:p>
    <w:p w14:paraId="30A8CAFB" w14:textId="77777777" w:rsidR="00660D79" w:rsidRDefault="00660D79" w:rsidP="009010ED">
      <w:pPr>
        <w:rPr>
          <w:rFonts w:ascii="Times New Roman" w:hAnsi="Times New Roman" w:cs="Times New Roman"/>
          <w:sz w:val="24"/>
          <w:szCs w:val="24"/>
        </w:rPr>
      </w:pPr>
    </w:p>
    <w:p w14:paraId="567FC7CA" w14:textId="77777777" w:rsidR="00660D79" w:rsidRDefault="00660D79" w:rsidP="009010ED">
      <w:pPr>
        <w:rPr>
          <w:rFonts w:ascii="Times New Roman" w:hAnsi="Times New Roman" w:cs="Times New Roman"/>
          <w:sz w:val="24"/>
          <w:szCs w:val="24"/>
        </w:rPr>
      </w:pPr>
    </w:p>
    <w:p w14:paraId="7F206A98" w14:textId="77777777" w:rsidR="00660D79" w:rsidRDefault="00660D79" w:rsidP="009010ED">
      <w:pPr>
        <w:rPr>
          <w:rFonts w:ascii="Times New Roman" w:hAnsi="Times New Roman" w:cs="Times New Roman"/>
          <w:sz w:val="24"/>
          <w:szCs w:val="24"/>
        </w:rPr>
      </w:pPr>
    </w:p>
    <w:p w14:paraId="19A63DBC" w14:textId="77777777" w:rsidR="00660D79" w:rsidRDefault="00660D79" w:rsidP="009010ED">
      <w:pPr>
        <w:rPr>
          <w:rFonts w:ascii="Times New Roman" w:hAnsi="Times New Roman" w:cs="Times New Roman"/>
          <w:sz w:val="24"/>
          <w:szCs w:val="24"/>
        </w:rPr>
      </w:pPr>
    </w:p>
    <w:p w14:paraId="199B1A29" w14:textId="77777777" w:rsidR="00660D79" w:rsidRDefault="00660D79" w:rsidP="009010ED">
      <w:pPr>
        <w:rPr>
          <w:rFonts w:ascii="Times New Roman" w:hAnsi="Times New Roman" w:cs="Times New Roman"/>
          <w:sz w:val="24"/>
          <w:szCs w:val="24"/>
        </w:rPr>
      </w:pPr>
    </w:p>
    <w:p w14:paraId="6E474798" w14:textId="77777777" w:rsidR="00660D79" w:rsidRDefault="00660D79" w:rsidP="009010ED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color w:val="auto"/>
          <w:sz w:val="22"/>
          <w:szCs w:val="22"/>
        </w:rPr>
        <w:id w:val="-7108126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FC55A21" w14:textId="77777777" w:rsidR="00A55027" w:rsidRPr="0028364C" w:rsidRDefault="00A55027">
          <w:pPr>
            <w:pStyle w:val="Tartalomjegyzkcmsora"/>
            <w:rPr>
              <w:rFonts w:ascii="Times New Roman" w:hAnsi="Times New Roman" w:cs="Times New Roman"/>
              <w:color w:val="auto"/>
            </w:rPr>
          </w:pPr>
          <w:r w:rsidRPr="0028364C">
            <w:rPr>
              <w:rFonts w:ascii="Times New Roman" w:hAnsi="Times New Roman" w:cs="Times New Roman"/>
              <w:color w:val="auto"/>
            </w:rPr>
            <w:t>Tartalom</w:t>
          </w:r>
        </w:p>
        <w:p w14:paraId="711F79DA" w14:textId="77777777" w:rsidR="00CF2E95" w:rsidRPr="0028364C" w:rsidRDefault="00CF2E95" w:rsidP="00CF2E95">
          <w:pPr>
            <w:rPr>
              <w:rFonts w:ascii="Times New Roman" w:hAnsi="Times New Roman" w:cs="Times New Roman"/>
            </w:rPr>
          </w:pPr>
        </w:p>
        <w:p w14:paraId="7BF420B6" w14:textId="77777777" w:rsidR="00660D79" w:rsidRDefault="00F60BCB">
          <w:pPr>
            <w:pStyle w:val="TJ1"/>
            <w:tabs>
              <w:tab w:val="left" w:pos="440"/>
              <w:tab w:val="right" w:leader="dot" w:pos="9062"/>
            </w:tabs>
            <w:rPr>
              <w:noProof/>
              <w:lang w:eastAsia="hu-HU"/>
            </w:rPr>
          </w:pPr>
          <w:r w:rsidRPr="0028364C">
            <w:rPr>
              <w:rFonts w:ascii="Times New Roman" w:hAnsi="Times New Roman" w:cs="Times New Roman"/>
            </w:rPr>
            <w:fldChar w:fldCharType="begin"/>
          </w:r>
          <w:r w:rsidR="00A55027" w:rsidRPr="0028364C">
            <w:rPr>
              <w:rFonts w:ascii="Times New Roman" w:hAnsi="Times New Roman" w:cs="Times New Roman"/>
            </w:rPr>
            <w:instrText xml:space="preserve"> TOC \o "1-3" \h \z \u </w:instrText>
          </w:r>
          <w:r w:rsidRPr="0028364C">
            <w:rPr>
              <w:rFonts w:ascii="Times New Roman" w:hAnsi="Times New Roman" w:cs="Times New Roman"/>
            </w:rPr>
            <w:fldChar w:fldCharType="separate"/>
          </w:r>
          <w:hyperlink w:anchor="_Toc75937741" w:history="1">
            <w:r w:rsidR="00660D79" w:rsidRPr="000A0A2A">
              <w:rPr>
                <w:rStyle w:val="Hiperhivatkozs"/>
                <w:rFonts w:ascii="Times New Roman" w:hAnsi="Times New Roman"/>
                <w:b/>
                <w:noProof/>
              </w:rPr>
              <w:t>1.</w:t>
            </w:r>
            <w:r w:rsidR="00660D79">
              <w:rPr>
                <w:noProof/>
                <w:lang w:eastAsia="hu-HU"/>
              </w:rPr>
              <w:tab/>
            </w:r>
            <w:r w:rsidR="00660D79" w:rsidRPr="000A0A2A">
              <w:rPr>
                <w:rStyle w:val="Hiperhivatkozs"/>
                <w:rFonts w:ascii="Times New Roman" w:hAnsi="Times New Roman"/>
                <w:b/>
                <w:noProof/>
              </w:rPr>
              <w:t>A szabályzat célja és alapvetések</w:t>
            </w:r>
            <w:r w:rsidR="00660D79">
              <w:rPr>
                <w:noProof/>
                <w:webHidden/>
              </w:rPr>
              <w:tab/>
            </w:r>
            <w:r w:rsidR="00660D79">
              <w:rPr>
                <w:noProof/>
                <w:webHidden/>
              </w:rPr>
              <w:fldChar w:fldCharType="begin"/>
            </w:r>
            <w:r w:rsidR="00660D79">
              <w:rPr>
                <w:noProof/>
                <w:webHidden/>
              </w:rPr>
              <w:instrText xml:space="preserve"> PAGEREF _Toc75937741 \h </w:instrText>
            </w:r>
            <w:r w:rsidR="00660D79">
              <w:rPr>
                <w:noProof/>
                <w:webHidden/>
              </w:rPr>
            </w:r>
            <w:r w:rsidR="00660D79">
              <w:rPr>
                <w:noProof/>
                <w:webHidden/>
              </w:rPr>
              <w:fldChar w:fldCharType="separate"/>
            </w:r>
            <w:r w:rsidR="00297B62">
              <w:rPr>
                <w:noProof/>
                <w:webHidden/>
              </w:rPr>
              <w:t>4</w:t>
            </w:r>
            <w:r w:rsidR="00660D79">
              <w:rPr>
                <w:noProof/>
                <w:webHidden/>
              </w:rPr>
              <w:fldChar w:fldCharType="end"/>
            </w:r>
          </w:hyperlink>
        </w:p>
        <w:p w14:paraId="5F97E1AC" w14:textId="77777777" w:rsidR="00660D79" w:rsidRDefault="00225A44">
          <w:pPr>
            <w:pStyle w:val="TJ1"/>
            <w:tabs>
              <w:tab w:val="left" w:pos="440"/>
              <w:tab w:val="right" w:leader="dot" w:pos="9062"/>
            </w:tabs>
            <w:rPr>
              <w:noProof/>
              <w:lang w:eastAsia="hu-HU"/>
            </w:rPr>
          </w:pPr>
          <w:hyperlink w:anchor="_Toc75937742" w:history="1">
            <w:r w:rsidR="00660D79" w:rsidRPr="000A0A2A">
              <w:rPr>
                <w:rStyle w:val="Hiperhivatkozs"/>
                <w:rFonts w:ascii="Times New Roman" w:hAnsi="Times New Roman"/>
                <w:b/>
                <w:noProof/>
              </w:rPr>
              <w:t>2.</w:t>
            </w:r>
            <w:r w:rsidR="00660D79">
              <w:rPr>
                <w:noProof/>
                <w:lang w:eastAsia="hu-HU"/>
              </w:rPr>
              <w:tab/>
            </w:r>
            <w:r w:rsidR="00660D79" w:rsidRPr="000A0A2A">
              <w:rPr>
                <w:rStyle w:val="Hiperhivatkozs"/>
                <w:rFonts w:ascii="Times New Roman" w:hAnsi="Times New Roman"/>
                <w:b/>
                <w:noProof/>
              </w:rPr>
              <w:t>Fogalmi meghatározások</w:t>
            </w:r>
            <w:r w:rsidR="00660D79">
              <w:rPr>
                <w:noProof/>
                <w:webHidden/>
              </w:rPr>
              <w:tab/>
            </w:r>
            <w:r w:rsidR="00660D79">
              <w:rPr>
                <w:noProof/>
                <w:webHidden/>
              </w:rPr>
              <w:fldChar w:fldCharType="begin"/>
            </w:r>
            <w:r w:rsidR="00660D79">
              <w:rPr>
                <w:noProof/>
                <w:webHidden/>
              </w:rPr>
              <w:instrText xml:space="preserve"> PAGEREF _Toc75937742 \h </w:instrText>
            </w:r>
            <w:r w:rsidR="00660D79">
              <w:rPr>
                <w:noProof/>
                <w:webHidden/>
              </w:rPr>
            </w:r>
            <w:r w:rsidR="00660D79">
              <w:rPr>
                <w:noProof/>
                <w:webHidden/>
              </w:rPr>
              <w:fldChar w:fldCharType="separate"/>
            </w:r>
            <w:r w:rsidR="00297B62">
              <w:rPr>
                <w:noProof/>
                <w:webHidden/>
              </w:rPr>
              <w:t>4</w:t>
            </w:r>
            <w:r w:rsidR="00660D79">
              <w:rPr>
                <w:noProof/>
                <w:webHidden/>
              </w:rPr>
              <w:fldChar w:fldCharType="end"/>
            </w:r>
          </w:hyperlink>
        </w:p>
        <w:p w14:paraId="60B9718D" w14:textId="77777777" w:rsidR="00660D79" w:rsidRDefault="00225A44">
          <w:pPr>
            <w:pStyle w:val="TJ1"/>
            <w:tabs>
              <w:tab w:val="left" w:pos="440"/>
              <w:tab w:val="right" w:leader="dot" w:pos="9062"/>
            </w:tabs>
            <w:rPr>
              <w:noProof/>
              <w:lang w:eastAsia="hu-HU"/>
            </w:rPr>
          </w:pPr>
          <w:hyperlink w:anchor="_Toc75937743" w:history="1">
            <w:r w:rsidR="00660D79" w:rsidRPr="000A0A2A">
              <w:rPr>
                <w:rStyle w:val="Hiperhivatkozs"/>
                <w:rFonts w:ascii="Times New Roman" w:hAnsi="Times New Roman"/>
                <w:b/>
                <w:noProof/>
              </w:rPr>
              <w:t>3.</w:t>
            </w:r>
            <w:r w:rsidR="00660D79">
              <w:rPr>
                <w:noProof/>
                <w:lang w:eastAsia="hu-HU"/>
              </w:rPr>
              <w:tab/>
            </w:r>
            <w:r w:rsidR="00660D79" w:rsidRPr="000A0A2A">
              <w:rPr>
                <w:rStyle w:val="Hiperhivatkozs"/>
                <w:rFonts w:ascii="Times New Roman" w:hAnsi="Times New Roman"/>
                <w:b/>
                <w:noProof/>
              </w:rPr>
              <w:t>Kapcsolódó jogszabályok és belső szabályzatok</w:t>
            </w:r>
            <w:r w:rsidR="00660D79">
              <w:rPr>
                <w:noProof/>
                <w:webHidden/>
              </w:rPr>
              <w:tab/>
            </w:r>
            <w:r w:rsidR="00660D79">
              <w:rPr>
                <w:noProof/>
                <w:webHidden/>
              </w:rPr>
              <w:fldChar w:fldCharType="begin"/>
            </w:r>
            <w:r w:rsidR="00660D79">
              <w:rPr>
                <w:noProof/>
                <w:webHidden/>
              </w:rPr>
              <w:instrText xml:space="preserve"> PAGEREF _Toc75937743 \h </w:instrText>
            </w:r>
            <w:r w:rsidR="00660D79">
              <w:rPr>
                <w:noProof/>
                <w:webHidden/>
              </w:rPr>
            </w:r>
            <w:r w:rsidR="00660D79">
              <w:rPr>
                <w:noProof/>
                <w:webHidden/>
              </w:rPr>
              <w:fldChar w:fldCharType="separate"/>
            </w:r>
            <w:r w:rsidR="00297B62">
              <w:rPr>
                <w:noProof/>
                <w:webHidden/>
              </w:rPr>
              <w:t>5</w:t>
            </w:r>
            <w:r w:rsidR="00660D79">
              <w:rPr>
                <w:noProof/>
                <w:webHidden/>
              </w:rPr>
              <w:fldChar w:fldCharType="end"/>
            </w:r>
          </w:hyperlink>
        </w:p>
        <w:p w14:paraId="454627E8" w14:textId="77777777" w:rsidR="00660D79" w:rsidRDefault="00225A44">
          <w:pPr>
            <w:pStyle w:val="TJ1"/>
            <w:tabs>
              <w:tab w:val="left" w:pos="440"/>
              <w:tab w:val="right" w:leader="dot" w:pos="9062"/>
            </w:tabs>
            <w:rPr>
              <w:noProof/>
              <w:lang w:eastAsia="hu-HU"/>
            </w:rPr>
          </w:pPr>
          <w:hyperlink w:anchor="_Toc75937744" w:history="1">
            <w:r w:rsidR="00660D79" w:rsidRPr="000A0A2A">
              <w:rPr>
                <w:rStyle w:val="Hiperhivatkozs"/>
                <w:rFonts w:ascii="Times New Roman" w:hAnsi="Times New Roman"/>
                <w:b/>
                <w:noProof/>
              </w:rPr>
              <w:t>4.</w:t>
            </w:r>
            <w:r w:rsidR="00660D79">
              <w:rPr>
                <w:noProof/>
                <w:lang w:eastAsia="hu-HU"/>
              </w:rPr>
              <w:tab/>
            </w:r>
            <w:r w:rsidR="00660D79" w:rsidRPr="000A0A2A">
              <w:rPr>
                <w:rStyle w:val="Hiperhivatkozs"/>
                <w:rFonts w:ascii="Times New Roman" w:hAnsi="Times New Roman"/>
                <w:b/>
                <w:noProof/>
              </w:rPr>
              <w:t>A szabályzat tárgya</w:t>
            </w:r>
            <w:r w:rsidR="00660D79">
              <w:rPr>
                <w:noProof/>
                <w:webHidden/>
              </w:rPr>
              <w:tab/>
            </w:r>
            <w:r w:rsidR="00660D79">
              <w:rPr>
                <w:noProof/>
                <w:webHidden/>
              </w:rPr>
              <w:fldChar w:fldCharType="begin"/>
            </w:r>
            <w:r w:rsidR="00660D79">
              <w:rPr>
                <w:noProof/>
                <w:webHidden/>
              </w:rPr>
              <w:instrText xml:space="preserve"> PAGEREF _Toc75937744 \h </w:instrText>
            </w:r>
            <w:r w:rsidR="00660D79">
              <w:rPr>
                <w:noProof/>
                <w:webHidden/>
              </w:rPr>
            </w:r>
            <w:r w:rsidR="00660D79">
              <w:rPr>
                <w:noProof/>
                <w:webHidden/>
              </w:rPr>
              <w:fldChar w:fldCharType="separate"/>
            </w:r>
            <w:r w:rsidR="00297B62">
              <w:rPr>
                <w:noProof/>
                <w:webHidden/>
              </w:rPr>
              <w:t>6</w:t>
            </w:r>
            <w:r w:rsidR="00660D79">
              <w:rPr>
                <w:noProof/>
                <w:webHidden/>
              </w:rPr>
              <w:fldChar w:fldCharType="end"/>
            </w:r>
          </w:hyperlink>
        </w:p>
        <w:p w14:paraId="2F75C886" w14:textId="77777777" w:rsidR="00660D79" w:rsidRDefault="00225A44">
          <w:pPr>
            <w:pStyle w:val="TJ1"/>
            <w:tabs>
              <w:tab w:val="left" w:pos="440"/>
              <w:tab w:val="right" w:leader="dot" w:pos="9062"/>
            </w:tabs>
            <w:rPr>
              <w:noProof/>
              <w:lang w:eastAsia="hu-HU"/>
            </w:rPr>
          </w:pPr>
          <w:hyperlink w:anchor="_Toc75937745" w:history="1">
            <w:r w:rsidR="00660D79" w:rsidRPr="000A0A2A">
              <w:rPr>
                <w:rStyle w:val="Hiperhivatkozs"/>
                <w:rFonts w:ascii="Times New Roman" w:hAnsi="Times New Roman"/>
                <w:b/>
                <w:noProof/>
              </w:rPr>
              <w:t>5.</w:t>
            </w:r>
            <w:r w:rsidR="00660D79">
              <w:rPr>
                <w:noProof/>
                <w:lang w:eastAsia="hu-HU"/>
              </w:rPr>
              <w:tab/>
            </w:r>
            <w:r w:rsidR="00660D79" w:rsidRPr="000A0A2A">
              <w:rPr>
                <w:rStyle w:val="Hiperhivatkozs"/>
                <w:rFonts w:ascii="Times New Roman" w:hAnsi="Times New Roman"/>
                <w:b/>
                <w:noProof/>
              </w:rPr>
              <w:t>A szabályzat hatálya</w:t>
            </w:r>
            <w:r w:rsidR="00660D79">
              <w:rPr>
                <w:noProof/>
                <w:webHidden/>
              </w:rPr>
              <w:tab/>
            </w:r>
            <w:r w:rsidR="00660D79">
              <w:rPr>
                <w:noProof/>
                <w:webHidden/>
              </w:rPr>
              <w:fldChar w:fldCharType="begin"/>
            </w:r>
            <w:r w:rsidR="00660D79">
              <w:rPr>
                <w:noProof/>
                <w:webHidden/>
              </w:rPr>
              <w:instrText xml:space="preserve"> PAGEREF _Toc75937745 \h </w:instrText>
            </w:r>
            <w:r w:rsidR="00660D79">
              <w:rPr>
                <w:noProof/>
                <w:webHidden/>
              </w:rPr>
            </w:r>
            <w:r w:rsidR="00660D79">
              <w:rPr>
                <w:noProof/>
                <w:webHidden/>
              </w:rPr>
              <w:fldChar w:fldCharType="separate"/>
            </w:r>
            <w:r w:rsidR="00297B62">
              <w:rPr>
                <w:noProof/>
                <w:webHidden/>
              </w:rPr>
              <w:t>6</w:t>
            </w:r>
            <w:r w:rsidR="00660D79">
              <w:rPr>
                <w:noProof/>
                <w:webHidden/>
              </w:rPr>
              <w:fldChar w:fldCharType="end"/>
            </w:r>
          </w:hyperlink>
        </w:p>
        <w:p w14:paraId="549A7CF8" w14:textId="77777777" w:rsidR="00660D79" w:rsidRDefault="00225A44">
          <w:pPr>
            <w:pStyle w:val="TJ1"/>
            <w:tabs>
              <w:tab w:val="left" w:pos="440"/>
              <w:tab w:val="right" w:leader="dot" w:pos="9062"/>
            </w:tabs>
            <w:rPr>
              <w:noProof/>
              <w:lang w:eastAsia="hu-HU"/>
            </w:rPr>
          </w:pPr>
          <w:hyperlink w:anchor="_Toc75937746" w:history="1">
            <w:r w:rsidR="00660D79" w:rsidRPr="000A0A2A">
              <w:rPr>
                <w:rStyle w:val="Hiperhivatkozs"/>
                <w:rFonts w:ascii="Times New Roman" w:hAnsi="Times New Roman"/>
                <w:b/>
                <w:noProof/>
              </w:rPr>
              <w:t>6.</w:t>
            </w:r>
            <w:r w:rsidR="00660D79">
              <w:rPr>
                <w:noProof/>
                <w:lang w:eastAsia="hu-HU"/>
              </w:rPr>
              <w:tab/>
            </w:r>
            <w:r w:rsidR="00660D79" w:rsidRPr="000A0A2A">
              <w:rPr>
                <w:rStyle w:val="Hiperhivatkozs"/>
                <w:rFonts w:ascii="Times New Roman" w:hAnsi="Times New Roman"/>
                <w:b/>
                <w:noProof/>
              </w:rPr>
              <w:t>A javadalmazás típusai</w:t>
            </w:r>
            <w:r w:rsidR="00660D79">
              <w:rPr>
                <w:noProof/>
                <w:webHidden/>
              </w:rPr>
              <w:tab/>
            </w:r>
            <w:r w:rsidR="00660D79">
              <w:rPr>
                <w:noProof/>
                <w:webHidden/>
              </w:rPr>
              <w:fldChar w:fldCharType="begin"/>
            </w:r>
            <w:r w:rsidR="00660D79">
              <w:rPr>
                <w:noProof/>
                <w:webHidden/>
              </w:rPr>
              <w:instrText xml:space="preserve"> PAGEREF _Toc75937746 \h </w:instrText>
            </w:r>
            <w:r w:rsidR="00660D79">
              <w:rPr>
                <w:noProof/>
                <w:webHidden/>
              </w:rPr>
            </w:r>
            <w:r w:rsidR="00660D79">
              <w:rPr>
                <w:noProof/>
                <w:webHidden/>
              </w:rPr>
              <w:fldChar w:fldCharType="separate"/>
            </w:r>
            <w:r w:rsidR="00297B62">
              <w:rPr>
                <w:noProof/>
                <w:webHidden/>
              </w:rPr>
              <w:t>8</w:t>
            </w:r>
            <w:r w:rsidR="00660D79">
              <w:rPr>
                <w:noProof/>
                <w:webHidden/>
              </w:rPr>
              <w:fldChar w:fldCharType="end"/>
            </w:r>
          </w:hyperlink>
        </w:p>
        <w:p w14:paraId="45B90A17" w14:textId="77777777" w:rsidR="00660D79" w:rsidRDefault="00225A44">
          <w:pPr>
            <w:pStyle w:val="TJ3"/>
            <w:tabs>
              <w:tab w:val="right" w:leader="dot" w:pos="9062"/>
            </w:tabs>
            <w:rPr>
              <w:noProof/>
              <w:lang w:eastAsia="hu-HU"/>
            </w:rPr>
          </w:pPr>
          <w:hyperlink w:anchor="_Toc75937747" w:history="1">
            <w:r w:rsidR="00660D79" w:rsidRPr="000A0A2A">
              <w:rPr>
                <w:rStyle w:val="Hiperhivatkozs"/>
                <w:rFonts w:ascii="Times New Roman" w:hAnsi="Times New Roman"/>
                <w:noProof/>
              </w:rPr>
              <w:t>Alapbér</w:t>
            </w:r>
            <w:r w:rsidR="00660D79">
              <w:rPr>
                <w:noProof/>
                <w:webHidden/>
              </w:rPr>
              <w:tab/>
            </w:r>
            <w:r w:rsidR="00660D79">
              <w:rPr>
                <w:noProof/>
                <w:webHidden/>
              </w:rPr>
              <w:fldChar w:fldCharType="begin"/>
            </w:r>
            <w:r w:rsidR="00660D79">
              <w:rPr>
                <w:noProof/>
                <w:webHidden/>
              </w:rPr>
              <w:instrText xml:space="preserve"> PAGEREF _Toc75937747 \h </w:instrText>
            </w:r>
            <w:r w:rsidR="00660D79">
              <w:rPr>
                <w:noProof/>
                <w:webHidden/>
              </w:rPr>
            </w:r>
            <w:r w:rsidR="00660D79">
              <w:rPr>
                <w:noProof/>
                <w:webHidden/>
              </w:rPr>
              <w:fldChar w:fldCharType="separate"/>
            </w:r>
            <w:r w:rsidR="00297B62">
              <w:rPr>
                <w:noProof/>
                <w:webHidden/>
              </w:rPr>
              <w:t>8</w:t>
            </w:r>
            <w:r w:rsidR="00660D79">
              <w:rPr>
                <w:noProof/>
                <w:webHidden/>
              </w:rPr>
              <w:fldChar w:fldCharType="end"/>
            </w:r>
          </w:hyperlink>
        </w:p>
        <w:p w14:paraId="66C4DF95" w14:textId="77777777" w:rsidR="00660D79" w:rsidRDefault="00225A44">
          <w:pPr>
            <w:pStyle w:val="TJ3"/>
            <w:tabs>
              <w:tab w:val="right" w:leader="dot" w:pos="9062"/>
            </w:tabs>
            <w:rPr>
              <w:noProof/>
              <w:lang w:eastAsia="hu-HU"/>
            </w:rPr>
          </w:pPr>
          <w:hyperlink w:anchor="_Toc75937748" w:history="1">
            <w:r w:rsidR="00660D79" w:rsidRPr="000A0A2A">
              <w:rPr>
                <w:rStyle w:val="Hiperhivatkozs"/>
                <w:rFonts w:ascii="Times New Roman" w:hAnsi="Times New Roman"/>
                <w:noProof/>
              </w:rPr>
              <w:t>Béren kívüli juttatások</w:t>
            </w:r>
            <w:r w:rsidR="00660D79">
              <w:rPr>
                <w:noProof/>
                <w:webHidden/>
              </w:rPr>
              <w:tab/>
            </w:r>
            <w:r w:rsidR="00660D79">
              <w:rPr>
                <w:noProof/>
                <w:webHidden/>
              </w:rPr>
              <w:fldChar w:fldCharType="begin"/>
            </w:r>
            <w:r w:rsidR="00660D79">
              <w:rPr>
                <w:noProof/>
                <w:webHidden/>
              </w:rPr>
              <w:instrText xml:space="preserve"> PAGEREF _Toc75937748 \h </w:instrText>
            </w:r>
            <w:r w:rsidR="00660D79">
              <w:rPr>
                <w:noProof/>
                <w:webHidden/>
              </w:rPr>
            </w:r>
            <w:r w:rsidR="00660D79">
              <w:rPr>
                <w:noProof/>
                <w:webHidden/>
              </w:rPr>
              <w:fldChar w:fldCharType="separate"/>
            </w:r>
            <w:r w:rsidR="00297B62">
              <w:rPr>
                <w:noProof/>
                <w:webHidden/>
              </w:rPr>
              <w:t>8</w:t>
            </w:r>
            <w:r w:rsidR="00660D79">
              <w:rPr>
                <w:noProof/>
                <w:webHidden/>
              </w:rPr>
              <w:fldChar w:fldCharType="end"/>
            </w:r>
          </w:hyperlink>
        </w:p>
        <w:p w14:paraId="29C23F0E" w14:textId="77777777" w:rsidR="00660D79" w:rsidRDefault="00225A44">
          <w:pPr>
            <w:pStyle w:val="TJ3"/>
            <w:tabs>
              <w:tab w:val="right" w:leader="dot" w:pos="9062"/>
            </w:tabs>
            <w:rPr>
              <w:noProof/>
              <w:lang w:eastAsia="hu-HU"/>
            </w:rPr>
          </w:pPr>
          <w:hyperlink w:anchor="_Toc75937749" w:history="1">
            <w:r w:rsidR="00660D79" w:rsidRPr="000A0A2A">
              <w:rPr>
                <w:rStyle w:val="Hiperhivatkozs"/>
                <w:rFonts w:ascii="Times New Roman" w:hAnsi="Times New Roman"/>
                <w:noProof/>
              </w:rPr>
              <w:t>Prémium</w:t>
            </w:r>
            <w:r w:rsidR="00660D79">
              <w:rPr>
                <w:noProof/>
                <w:webHidden/>
              </w:rPr>
              <w:tab/>
            </w:r>
            <w:r w:rsidR="00660D79">
              <w:rPr>
                <w:noProof/>
                <w:webHidden/>
              </w:rPr>
              <w:fldChar w:fldCharType="begin"/>
            </w:r>
            <w:r w:rsidR="00660D79">
              <w:rPr>
                <w:noProof/>
                <w:webHidden/>
              </w:rPr>
              <w:instrText xml:space="preserve"> PAGEREF _Toc75937749 \h </w:instrText>
            </w:r>
            <w:r w:rsidR="00660D79">
              <w:rPr>
                <w:noProof/>
                <w:webHidden/>
              </w:rPr>
            </w:r>
            <w:r w:rsidR="00660D79">
              <w:rPr>
                <w:noProof/>
                <w:webHidden/>
              </w:rPr>
              <w:fldChar w:fldCharType="separate"/>
            </w:r>
            <w:r w:rsidR="00297B62">
              <w:rPr>
                <w:noProof/>
                <w:webHidden/>
              </w:rPr>
              <w:t>9</w:t>
            </w:r>
            <w:r w:rsidR="00660D79">
              <w:rPr>
                <w:noProof/>
                <w:webHidden/>
              </w:rPr>
              <w:fldChar w:fldCharType="end"/>
            </w:r>
          </w:hyperlink>
        </w:p>
        <w:p w14:paraId="1BF9D374" w14:textId="77777777" w:rsidR="00660D79" w:rsidRDefault="00225A44">
          <w:pPr>
            <w:pStyle w:val="TJ3"/>
            <w:tabs>
              <w:tab w:val="right" w:leader="dot" w:pos="9062"/>
            </w:tabs>
            <w:rPr>
              <w:noProof/>
              <w:lang w:eastAsia="hu-HU"/>
            </w:rPr>
          </w:pPr>
          <w:hyperlink w:anchor="_Toc75937750" w:history="1">
            <w:r w:rsidR="00660D79" w:rsidRPr="000A0A2A">
              <w:rPr>
                <w:rStyle w:val="Hiperhivatkozs"/>
                <w:rFonts w:ascii="Times New Roman" w:hAnsi="Times New Roman"/>
                <w:noProof/>
              </w:rPr>
              <w:t xml:space="preserve">A Bank belső szabályzatban rendelkezik - A </w:t>
            </w:r>
            <w:r w:rsidR="00660D79" w:rsidRPr="000A0A2A">
              <w:rPr>
                <w:rStyle w:val="Hiperhivatkozs"/>
                <w:rFonts w:ascii="Times New Roman" w:hAnsi="Times New Roman"/>
                <w:b/>
                <w:noProof/>
              </w:rPr>
              <w:t>Duna Takarék Bank Zrt. (DTB) központi teljesítmény értékelési és mozgóbérezési rendszerének</w:t>
            </w:r>
            <w:r w:rsidR="00660D79" w:rsidRPr="000A0A2A">
              <w:rPr>
                <w:rStyle w:val="Hiperhivatkozs"/>
                <w:rFonts w:ascii="Times New Roman" w:hAnsi="Times New Roman"/>
                <w:noProof/>
              </w:rPr>
              <w:t xml:space="preserve"> </w:t>
            </w:r>
            <w:r w:rsidR="00660D79" w:rsidRPr="000A0A2A">
              <w:rPr>
                <w:rStyle w:val="Hiperhivatkozs"/>
                <w:rFonts w:ascii="Times New Roman" w:hAnsi="Times New Roman"/>
                <w:b/>
                <w:noProof/>
              </w:rPr>
              <w:t xml:space="preserve">alapelvei </w:t>
            </w:r>
            <w:r w:rsidR="00660D79" w:rsidRPr="000A0A2A">
              <w:rPr>
                <w:rStyle w:val="Hiperhivatkozs"/>
                <w:rFonts w:ascii="Times New Roman" w:hAnsi="Times New Roman"/>
                <w:noProof/>
              </w:rPr>
              <w:t>- a Prémiumra jogosultakra vonatkozóan. A szabályzat elválaszthatatlan része a Javadalmazási Politikának (</w:t>
            </w:r>
            <w:r w:rsidR="00660D79" w:rsidRPr="000A0A2A">
              <w:rPr>
                <w:rStyle w:val="Hiperhivatkozs"/>
                <w:rFonts w:ascii="Times New Roman" w:hAnsi="Times New Roman"/>
                <w:b/>
                <w:noProof/>
              </w:rPr>
              <w:t>3. sz. melléklet</w:t>
            </w:r>
            <w:r w:rsidR="00660D79" w:rsidRPr="000A0A2A">
              <w:rPr>
                <w:rStyle w:val="Hiperhivatkozs"/>
                <w:rFonts w:ascii="Times New Roman" w:hAnsi="Times New Roman"/>
                <w:noProof/>
              </w:rPr>
              <w:t>).</w:t>
            </w:r>
            <w:r w:rsidR="00660D79">
              <w:rPr>
                <w:noProof/>
                <w:webHidden/>
              </w:rPr>
              <w:tab/>
            </w:r>
            <w:r w:rsidR="00660D79">
              <w:rPr>
                <w:noProof/>
                <w:webHidden/>
              </w:rPr>
              <w:fldChar w:fldCharType="begin"/>
            </w:r>
            <w:r w:rsidR="00660D79">
              <w:rPr>
                <w:noProof/>
                <w:webHidden/>
              </w:rPr>
              <w:instrText xml:space="preserve"> PAGEREF _Toc75937750 \h </w:instrText>
            </w:r>
            <w:r w:rsidR="00660D79">
              <w:rPr>
                <w:noProof/>
                <w:webHidden/>
              </w:rPr>
            </w:r>
            <w:r w:rsidR="00660D79">
              <w:rPr>
                <w:noProof/>
                <w:webHidden/>
              </w:rPr>
              <w:fldChar w:fldCharType="separate"/>
            </w:r>
            <w:r w:rsidR="00297B62">
              <w:rPr>
                <w:noProof/>
                <w:webHidden/>
              </w:rPr>
              <w:t>9</w:t>
            </w:r>
            <w:r w:rsidR="00660D79">
              <w:rPr>
                <w:noProof/>
                <w:webHidden/>
              </w:rPr>
              <w:fldChar w:fldCharType="end"/>
            </w:r>
          </w:hyperlink>
        </w:p>
        <w:p w14:paraId="5A31DB09" w14:textId="77777777" w:rsidR="00660D79" w:rsidRDefault="00225A44">
          <w:pPr>
            <w:pStyle w:val="TJ3"/>
            <w:tabs>
              <w:tab w:val="right" w:leader="dot" w:pos="9062"/>
            </w:tabs>
            <w:rPr>
              <w:noProof/>
              <w:lang w:eastAsia="hu-HU"/>
            </w:rPr>
          </w:pPr>
          <w:hyperlink w:anchor="_Toc75937751" w:history="1">
            <w:r w:rsidR="00660D79" w:rsidRPr="000A0A2A">
              <w:rPr>
                <w:rStyle w:val="Hiperhivatkozs"/>
                <w:rFonts w:ascii="Times New Roman" w:hAnsi="Times New Roman"/>
                <w:noProof/>
              </w:rPr>
              <w:t>A szabályzat magában foglalja az alábbi iránymutatásokat:</w:t>
            </w:r>
            <w:r w:rsidR="00660D79">
              <w:rPr>
                <w:noProof/>
                <w:webHidden/>
              </w:rPr>
              <w:tab/>
            </w:r>
            <w:r w:rsidR="00660D79">
              <w:rPr>
                <w:noProof/>
                <w:webHidden/>
              </w:rPr>
              <w:fldChar w:fldCharType="begin"/>
            </w:r>
            <w:r w:rsidR="00660D79">
              <w:rPr>
                <w:noProof/>
                <w:webHidden/>
              </w:rPr>
              <w:instrText xml:space="preserve"> PAGEREF _Toc75937751 \h </w:instrText>
            </w:r>
            <w:r w:rsidR="00660D79">
              <w:rPr>
                <w:noProof/>
                <w:webHidden/>
              </w:rPr>
            </w:r>
            <w:r w:rsidR="00660D79">
              <w:rPr>
                <w:noProof/>
                <w:webHidden/>
              </w:rPr>
              <w:fldChar w:fldCharType="separate"/>
            </w:r>
            <w:r w:rsidR="00297B62">
              <w:rPr>
                <w:noProof/>
                <w:webHidden/>
              </w:rPr>
              <w:t>9</w:t>
            </w:r>
            <w:r w:rsidR="00660D79">
              <w:rPr>
                <w:noProof/>
                <w:webHidden/>
              </w:rPr>
              <w:fldChar w:fldCharType="end"/>
            </w:r>
          </w:hyperlink>
        </w:p>
        <w:p w14:paraId="45ACD690" w14:textId="77777777" w:rsidR="00660D79" w:rsidRDefault="00225A44">
          <w:pPr>
            <w:pStyle w:val="TJ1"/>
            <w:tabs>
              <w:tab w:val="left" w:pos="440"/>
              <w:tab w:val="right" w:leader="dot" w:pos="9062"/>
            </w:tabs>
            <w:rPr>
              <w:noProof/>
              <w:lang w:eastAsia="hu-HU"/>
            </w:rPr>
          </w:pPr>
          <w:hyperlink w:anchor="_Toc75937752" w:history="1">
            <w:r w:rsidR="00660D79" w:rsidRPr="000A0A2A">
              <w:rPr>
                <w:rStyle w:val="Hiperhivatkozs"/>
                <w:rFonts w:ascii="Times New Roman" w:hAnsi="Times New Roman"/>
                <w:b/>
                <w:noProof/>
              </w:rPr>
              <w:t>7.</w:t>
            </w:r>
            <w:r w:rsidR="00660D79">
              <w:rPr>
                <w:noProof/>
                <w:lang w:eastAsia="hu-HU"/>
              </w:rPr>
              <w:tab/>
            </w:r>
            <w:r w:rsidR="00660D79" w:rsidRPr="000A0A2A">
              <w:rPr>
                <w:rStyle w:val="Hiperhivatkozs"/>
                <w:rFonts w:ascii="Times New Roman" w:hAnsi="Times New Roman"/>
                <w:b/>
                <w:noProof/>
              </w:rPr>
              <w:t>Teljesítményértékelési és célkitűzési rendszer</w:t>
            </w:r>
            <w:r w:rsidR="00660D79">
              <w:rPr>
                <w:noProof/>
                <w:webHidden/>
              </w:rPr>
              <w:tab/>
            </w:r>
            <w:r w:rsidR="00660D79">
              <w:rPr>
                <w:noProof/>
                <w:webHidden/>
              </w:rPr>
              <w:fldChar w:fldCharType="begin"/>
            </w:r>
            <w:r w:rsidR="00660D79">
              <w:rPr>
                <w:noProof/>
                <w:webHidden/>
              </w:rPr>
              <w:instrText xml:space="preserve"> PAGEREF _Toc75937752 \h </w:instrText>
            </w:r>
            <w:r w:rsidR="00660D79">
              <w:rPr>
                <w:noProof/>
                <w:webHidden/>
              </w:rPr>
            </w:r>
            <w:r w:rsidR="00660D79">
              <w:rPr>
                <w:noProof/>
                <w:webHidden/>
              </w:rPr>
              <w:fldChar w:fldCharType="separate"/>
            </w:r>
            <w:r w:rsidR="00297B62">
              <w:rPr>
                <w:noProof/>
                <w:webHidden/>
              </w:rPr>
              <w:t>11</w:t>
            </w:r>
            <w:r w:rsidR="00660D79">
              <w:rPr>
                <w:noProof/>
                <w:webHidden/>
              </w:rPr>
              <w:fldChar w:fldCharType="end"/>
            </w:r>
          </w:hyperlink>
        </w:p>
        <w:p w14:paraId="12B03A8A" w14:textId="77777777" w:rsidR="00660D79" w:rsidRDefault="00225A44">
          <w:pPr>
            <w:pStyle w:val="TJ1"/>
            <w:tabs>
              <w:tab w:val="left" w:pos="440"/>
              <w:tab w:val="right" w:leader="dot" w:pos="9062"/>
            </w:tabs>
            <w:rPr>
              <w:noProof/>
              <w:lang w:eastAsia="hu-HU"/>
            </w:rPr>
          </w:pPr>
          <w:hyperlink w:anchor="_Toc75937753" w:history="1">
            <w:r w:rsidR="00660D79" w:rsidRPr="000A0A2A">
              <w:rPr>
                <w:rStyle w:val="Hiperhivatkozs"/>
                <w:rFonts w:ascii="Times New Roman" w:hAnsi="Times New Roman"/>
                <w:b/>
                <w:noProof/>
              </w:rPr>
              <w:t>8.</w:t>
            </w:r>
            <w:r w:rsidR="00660D79">
              <w:rPr>
                <w:noProof/>
                <w:lang w:eastAsia="hu-HU"/>
              </w:rPr>
              <w:tab/>
            </w:r>
            <w:r w:rsidR="00660D79" w:rsidRPr="000A0A2A">
              <w:rPr>
                <w:rStyle w:val="Hiperhivatkozs"/>
                <w:rFonts w:ascii="Times New Roman" w:hAnsi="Times New Roman"/>
                <w:b/>
                <w:noProof/>
              </w:rPr>
              <w:t>Visszakövetelési szabályok és a halasztott kifizetés</w:t>
            </w:r>
            <w:r w:rsidR="00660D79">
              <w:rPr>
                <w:noProof/>
                <w:webHidden/>
              </w:rPr>
              <w:tab/>
            </w:r>
            <w:r w:rsidR="00660D79">
              <w:rPr>
                <w:noProof/>
                <w:webHidden/>
              </w:rPr>
              <w:fldChar w:fldCharType="begin"/>
            </w:r>
            <w:r w:rsidR="00660D79">
              <w:rPr>
                <w:noProof/>
                <w:webHidden/>
              </w:rPr>
              <w:instrText xml:space="preserve"> PAGEREF _Toc75937753 \h </w:instrText>
            </w:r>
            <w:r w:rsidR="00660D79">
              <w:rPr>
                <w:noProof/>
                <w:webHidden/>
              </w:rPr>
            </w:r>
            <w:r w:rsidR="00660D79">
              <w:rPr>
                <w:noProof/>
                <w:webHidden/>
              </w:rPr>
              <w:fldChar w:fldCharType="separate"/>
            </w:r>
            <w:r w:rsidR="00297B62">
              <w:rPr>
                <w:noProof/>
                <w:webHidden/>
              </w:rPr>
              <w:t>13</w:t>
            </w:r>
            <w:r w:rsidR="00660D79">
              <w:rPr>
                <w:noProof/>
                <w:webHidden/>
              </w:rPr>
              <w:fldChar w:fldCharType="end"/>
            </w:r>
          </w:hyperlink>
        </w:p>
        <w:p w14:paraId="0DC28D03" w14:textId="77777777" w:rsidR="00660D79" w:rsidRDefault="00225A44" w:rsidP="00660D79">
          <w:pPr>
            <w:pStyle w:val="TJ1"/>
            <w:tabs>
              <w:tab w:val="left" w:pos="440"/>
              <w:tab w:val="right" w:leader="dot" w:pos="9062"/>
            </w:tabs>
            <w:ind w:left="440" w:hanging="440"/>
            <w:rPr>
              <w:noProof/>
              <w:lang w:eastAsia="hu-HU"/>
            </w:rPr>
          </w:pPr>
          <w:hyperlink w:anchor="_Toc75937754" w:history="1">
            <w:r w:rsidR="00660D79" w:rsidRPr="000A0A2A">
              <w:rPr>
                <w:rStyle w:val="Hiperhivatkozs"/>
                <w:rFonts w:ascii="Times New Roman" w:hAnsi="Times New Roman"/>
                <w:b/>
                <w:noProof/>
              </w:rPr>
              <w:t>9.</w:t>
            </w:r>
            <w:r w:rsidR="00660D79">
              <w:rPr>
                <w:noProof/>
                <w:lang w:eastAsia="hu-HU"/>
              </w:rPr>
              <w:tab/>
            </w:r>
            <w:r w:rsidR="00660D79" w:rsidRPr="000A0A2A">
              <w:rPr>
                <w:rStyle w:val="Hiperhivatkozs"/>
                <w:rFonts w:ascii="Times New Roman" w:hAnsi="Times New Roman"/>
                <w:b/>
                <w:noProof/>
              </w:rPr>
              <w:t>Munkaviszony létesítése, munkáltatói jog gyakorlója, munkaviszony megszűntetés esetén járó juttatások</w:t>
            </w:r>
            <w:r w:rsidR="00660D79">
              <w:rPr>
                <w:noProof/>
                <w:webHidden/>
              </w:rPr>
              <w:tab/>
            </w:r>
            <w:r w:rsidR="00660D79">
              <w:rPr>
                <w:noProof/>
                <w:webHidden/>
              </w:rPr>
              <w:fldChar w:fldCharType="begin"/>
            </w:r>
            <w:r w:rsidR="00660D79">
              <w:rPr>
                <w:noProof/>
                <w:webHidden/>
              </w:rPr>
              <w:instrText xml:space="preserve"> PAGEREF _Toc75937754 \h </w:instrText>
            </w:r>
            <w:r w:rsidR="00660D79">
              <w:rPr>
                <w:noProof/>
                <w:webHidden/>
              </w:rPr>
            </w:r>
            <w:r w:rsidR="00660D79">
              <w:rPr>
                <w:noProof/>
                <w:webHidden/>
              </w:rPr>
              <w:fldChar w:fldCharType="separate"/>
            </w:r>
            <w:r w:rsidR="00297B62">
              <w:rPr>
                <w:noProof/>
                <w:webHidden/>
              </w:rPr>
              <w:t>15</w:t>
            </w:r>
            <w:r w:rsidR="00660D79">
              <w:rPr>
                <w:noProof/>
                <w:webHidden/>
              </w:rPr>
              <w:fldChar w:fldCharType="end"/>
            </w:r>
          </w:hyperlink>
        </w:p>
        <w:p w14:paraId="7BA86D80" w14:textId="7569C695" w:rsidR="00660D79" w:rsidRDefault="00225A44">
          <w:pPr>
            <w:pStyle w:val="TJ1"/>
            <w:tabs>
              <w:tab w:val="left" w:pos="660"/>
              <w:tab w:val="right" w:leader="dot" w:pos="9062"/>
            </w:tabs>
            <w:rPr>
              <w:noProof/>
              <w:lang w:eastAsia="hu-HU"/>
            </w:rPr>
          </w:pPr>
          <w:hyperlink w:anchor="_Toc75937755" w:history="1">
            <w:r w:rsidR="00660D79" w:rsidRPr="000A0A2A">
              <w:rPr>
                <w:rStyle w:val="Hiperhivatkozs"/>
                <w:rFonts w:ascii="Times New Roman" w:hAnsi="Times New Roman"/>
                <w:b/>
                <w:noProof/>
              </w:rPr>
              <w:t>10.</w:t>
            </w:r>
            <w:r w:rsidR="00660D79">
              <w:rPr>
                <w:noProof/>
                <w:lang w:eastAsia="hu-HU"/>
              </w:rPr>
              <w:t xml:space="preserve">   </w:t>
            </w:r>
            <w:r w:rsidR="00660D79" w:rsidRPr="000A0A2A">
              <w:rPr>
                <w:rStyle w:val="Hiperhivatkozs"/>
                <w:rFonts w:ascii="Times New Roman" w:hAnsi="Times New Roman"/>
                <w:b/>
                <w:noProof/>
              </w:rPr>
              <w:t>A javadalmazási Politika közzététele</w:t>
            </w:r>
            <w:r w:rsidR="00660D79">
              <w:rPr>
                <w:noProof/>
                <w:webHidden/>
              </w:rPr>
              <w:tab/>
            </w:r>
            <w:r w:rsidR="00660D79">
              <w:rPr>
                <w:noProof/>
                <w:webHidden/>
              </w:rPr>
              <w:fldChar w:fldCharType="begin"/>
            </w:r>
            <w:r w:rsidR="00660D79">
              <w:rPr>
                <w:noProof/>
                <w:webHidden/>
              </w:rPr>
              <w:instrText xml:space="preserve"> PAGEREF _Toc75937755 \h </w:instrText>
            </w:r>
            <w:r w:rsidR="00660D79">
              <w:rPr>
                <w:noProof/>
                <w:webHidden/>
              </w:rPr>
            </w:r>
            <w:r w:rsidR="00660D79">
              <w:rPr>
                <w:noProof/>
                <w:webHidden/>
              </w:rPr>
              <w:fldChar w:fldCharType="separate"/>
            </w:r>
            <w:r w:rsidR="00297B62">
              <w:rPr>
                <w:noProof/>
                <w:webHidden/>
              </w:rPr>
              <w:t>15</w:t>
            </w:r>
            <w:r w:rsidR="00660D79">
              <w:rPr>
                <w:noProof/>
                <w:webHidden/>
              </w:rPr>
              <w:fldChar w:fldCharType="end"/>
            </w:r>
          </w:hyperlink>
        </w:p>
        <w:p w14:paraId="077DB74C" w14:textId="33DB887F" w:rsidR="00660D79" w:rsidRDefault="00225A44">
          <w:pPr>
            <w:pStyle w:val="TJ1"/>
            <w:tabs>
              <w:tab w:val="left" w:pos="660"/>
              <w:tab w:val="right" w:leader="dot" w:pos="9062"/>
            </w:tabs>
            <w:rPr>
              <w:noProof/>
              <w:lang w:eastAsia="hu-HU"/>
            </w:rPr>
          </w:pPr>
          <w:hyperlink w:anchor="_Toc75937756" w:history="1">
            <w:r w:rsidR="00660D79" w:rsidRPr="000A0A2A">
              <w:rPr>
                <w:rStyle w:val="Hiperhivatkozs"/>
                <w:rFonts w:ascii="Times New Roman" w:hAnsi="Times New Roman"/>
                <w:b/>
                <w:noProof/>
              </w:rPr>
              <w:t>11.</w:t>
            </w:r>
            <w:r w:rsidR="00660D79">
              <w:rPr>
                <w:noProof/>
                <w:lang w:eastAsia="hu-HU"/>
              </w:rPr>
              <w:t xml:space="preserve">   </w:t>
            </w:r>
            <w:r w:rsidR="00660D79" w:rsidRPr="000A0A2A">
              <w:rPr>
                <w:rStyle w:val="Hiperhivatkozs"/>
                <w:rFonts w:ascii="Times New Roman" w:hAnsi="Times New Roman"/>
                <w:b/>
                <w:noProof/>
              </w:rPr>
              <w:t>A Javadalmazási Politika ellenőrzése és felülvizsgálata</w:t>
            </w:r>
            <w:r w:rsidR="00660D79">
              <w:rPr>
                <w:noProof/>
                <w:webHidden/>
              </w:rPr>
              <w:tab/>
            </w:r>
            <w:r w:rsidR="00660D79">
              <w:rPr>
                <w:noProof/>
                <w:webHidden/>
              </w:rPr>
              <w:fldChar w:fldCharType="begin"/>
            </w:r>
            <w:r w:rsidR="00660D79">
              <w:rPr>
                <w:noProof/>
                <w:webHidden/>
              </w:rPr>
              <w:instrText xml:space="preserve"> PAGEREF _Toc75937756 \h </w:instrText>
            </w:r>
            <w:r w:rsidR="00660D79">
              <w:rPr>
                <w:noProof/>
                <w:webHidden/>
              </w:rPr>
            </w:r>
            <w:r w:rsidR="00660D79">
              <w:rPr>
                <w:noProof/>
                <w:webHidden/>
              </w:rPr>
              <w:fldChar w:fldCharType="separate"/>
            </w:r>
            <w:r w:rsidR="00297B62">
              <w:rPr>
                <w:noProof/>
                <w:webHidden/>
              </w:rPr>
              <w:t>16</w:t>
            </w:r>
            <w:r w:rsidR="00660D79">
              <w:rPr>
                <w:noProof/>
                <w:webHidden/>
              </w:rPr>
              <w:fldChar w:fldCharType="end"/>
            </w:r>
          </w:hyperlink>
        </w:p>
        <w:p w14:paraId="7CED9262" w14:textId="71356D0C" w:rsidR="00660D79" w:rsidRDefault="00225A44">
          <w:pPr>
            <w:pStyle w:val="TJ1"/>
            <w:tabs>
              <w:tab w:val="left" w:pos="660"/>
              <w:tab w:val="right" w:leader="dot" w:pos="9062"/>
            </w:tabs>
            <w:rPr>
              <w:noProof/>
              <w:lang w:eastAsia="hu-HU"/>
            </w:rPr>
          </w:pPr>
          <w:hyperlink w:anchor="_Toc75937757" w:history="1">
            <w:r w:rsidR="00660D79" w:rsidRPr="000A0A2A">
              <w:rPr>
                <w:rStyle w:val="Hiperhivatkozs"/>
                <w:rFonts w:ascii="Times New Roman" w:hAnsi="Times New Roman"/>
                <w:b/>
                <w:noProof/>
              </w:rPr>
              <w:t>12.</w:t>
            </w:r>
            <w:r w:rsidR="00660D79">
              <w:rPr>
                <w:noProof/>
                <w:lang w:eastAsia="hu-HU"/>
              </w:rPr>
              <w:t xml:space="preserve">   </w:t>
            </w:r>
            <w:r w:rsidR="00660D79" w:rsidRPr="000A0A2A">
              <w:rPr>
                <w:rStyle w:val="Hiperhivatkozs"/>
                <w:rFonts w:ascii="Times New Roman" w:hAnsi="Times New Roman"/>
                <w:b/>
                <w:noProof/>
              </w:rPr>
              <w:t>Záró rendelkezés</w:t>
            </w:r>
            <w:r w:rsidR="00660D79">
              <w:rPr>
                <w:noProof/>
                <w:webHidden/>
              </w:rPr>
              <w:tab/>
            </w:r>
            <w:r w:rsidR="00660D79">
              <w:rPr>
                <w:noProof/>
                <w:webHidden/>
              </w:rPr>
              <w:fldChar w:fldCharType="begin"/>
            </w:r>
            <w:r w:rsidR="00660D79">
              <w:rPr>
                <w:noProof/>
                <w:webHidden/>
              </w:rPr>
              <w:instrText xml:space="preserve"> PAGEREF _Toc75937757 \h </w:instrText>
            </w:r>
            <w:r w:rsidR="00660D79">
              <w:rPr>
                <w:noProof/>
                <w:webHidden/>
              </w:rPr>
            </w:r>
            <w:r w:rsidR="00660D79">
              <w:rPr>
                <w:noProof/>
                <w:webHidden/>
              </w:rPr>
              <w:fldChar w:fldCharType="separate"/>
            </w:r>
            <w:r w:rsidR="00297B62">
              <w:rPr>
                <w:noProof/>
                <w:webHidden/>
              </w:rPr>
              <w:t>17</w:t>
            </w:r>
            <w:r w:rsidR="00660D79">
              <w:rPr>
                <w:noProof/>
                <w:webHidden/>
              </w:rPr>
              <w:fldChar w:fldCharType="end"/>
            </w:r>
          </w:hyperlink>
        </w:p>
        <w:p w14:paraId="08F4E9D9" w14:textId="77777777" w:rsidR="00A55027" w:rsidRPr="0028364C" w:rsidRDefault="00F60BCB">
          <w:pPr>
            <w:rPr>
              <w:rFonts w:ascii="Times New Roman" w:hAnsi="Times New Roman" w:cs="Times New Roman"/>
            </w:rPr>
          </w:pPr>
          <w:r w:rsidRPr="0028364C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36BBECAB" w14:textId="77777777" w:rsidR="009010ED" w:rsidRPr="0028364C" w:rsidRDefault="009010ED">
      <w:pPr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br w:type="page"/>
      </w:r>
    </w:p>
    <w:p w14:paraId="627336DC" w14:textId="77777777" w:rsidR="009010ED" w:rsidRPr="0028364C" w:rsidRDefault="007871DF" w:rsidP="009019E6">
      <w:pPr>
        <w:pStyle w:val="Listaszerbekezds"/>
        <w:numPr>
          <w:ilvl w:val="0"/>
          <w:numId w:val="1"/>
        </w:numPr>
        <w:ind w:left="284" w:hanging="284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75937741"/>
      <w:r w:rsidRPr="0028364C">
        <w:rPr>
          <w:rFonts w:ascii="Times New Roman" w:hAnsi="Times New Roman" w:cs="Times New Roman"/>
          <w:b/>
          <w:sz w:val="28"/>
          <w:szCs w:val="28"/>
        </w:rPr>
        <w:lastRenderedPageBreak/>
        <w:t>A szabályzat célja és alapvetések</w:t>
      </w:r>
      <w:bookmarkEnd w:id="0"/>
    </w:p>
    <w:p w14:paraId="790C6E7C" w14:textId="77777777" w:rsidR="005E4C00" w:rsidRPr="0028364C" w:rsidRDefault="005E4C00" w:rsidP="005E4C00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</w:p>
    <w:p w14:paraId="6CF77FB5" w14:textId="51C97539" w:rsidR="00505EA3" w:rsidRPr="0028364C" w:rsidRDefault="00320FFF" w:rsidP="009019E6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Javadal</w:t>
      </w:r>
      <w:r w:rsidR="00027393" w:rsidRPr="0028364C">
        <w:rPr>
          <w:rFonts w:ascii="Times New Roman" w:hAnsi="Times New Roman" w:cs="Times New Roman"/>
          <w:sz w:val="24"/>
          <w:szCs w:val="24"/>
        </w:rPr>
        <w:t>m</w:t>
      </w:r>
      <w:r w:rsidRPr="0028364C">
        <w:rPr>
          <w:rFonts w:ascii="Times New Roman" w:hAnsi="Times New Roman" w:cs="Times New Roman"/>
          <w:sz w:val="24"/>
          <w:szCs w:val="24"/>
        </w:rPr>
        <w:t>a</w:t>
      </w:r>
      <w:r w:rsidR="00027393" w:rsidRPr="0028364C">
        <w:rPr>
          <w:rFonts w:ascii="Times New Roman" w:hAnsi="Times New Roman" w:cs="Times New Roman"/>
          <w:sz w:val="24"/>
          <w:szCs w:val="24"/>
        </w:rPr>
        <w:t>zási Politika célja, hogy a Duna Takarék Bank Zrt</w:t>
      </w:r>
      <w:r w:rsidR="00505EA3" w:rsidRPr="0028364C">
        <w:rPr>
          <w:rFonts w:ascii="Times New Roman" w:hAnsi="Times New Roman" w:cs="Times New Roman"/>
          <w:sz w:val="24"/>
          <w:szCs w:val="24"/>
        </w:rPr>
        <w:t>.</w:t>
      </w:r>
      <w:r w:rsidR="00027393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505EA3" w:rsidRPr="0028364C">
        <w:rPr>
          <w:rFonts w:ascii="Times New Roman" w:hAnsi="Times New Roman" w:cs="Times New Roman"/>
          <w:sz w:val="24"/>
          <w:szCs w:val="24"/>
        </w:rPr>
        <w:t xml:space="preserve">(továbbiakban: </w:t>
      </w:r>
      <w:r w:rsidR="00D300CA">
        <w:rPr>
          <w:rFonts w:ascii="Times New Roman" w:hAnsi="Times New Roman" w:cs="Times New Roman"/>
          <w:sz w:val="24"/>
          <w:szCs w:val="24"/>
        </w:rPr>
        <w:t>Bank</w:t>
      </w:r>
      <w:r w:rsidR="00505EA3" w:rsidRPr="0028364C">
        <w:rPr>
          <w:rFonts w:ascii="Times New Roman" w:hAnsi="Times New Roman" w:cs="Times New Roman"/>
          <w:sz w:val="24"/>
          <w:szCs w:val="24"/>
        </w:rPr>
        <w:t>)</w:t>
      </w:r>
      <w:r w:rsidR="00ED380A" w:rsidRPr="0028364C">
        <w:rPr>
          <w:rFonts w:ascii="Times New Roman" w:hAnsi="Times New Roman" w:cs="Times New Roman"/>
          <w:sz w:val="24"/>
          <w:szCs w:val="24"/>
        </w:rPr>
        <w:t xml:space="preserve"> munkavállal</w:t>
      </w:r>
      <w:r w:rsidR="00027393" w:rsidRPr="0028364C">
        <w:rPr>
          <w:rFonts w:ascii="Times New Roman" w:hAnsi="Times New Roman" w:cs="Times New Roman"/>
          <w:sz w:val="24"/>
          <w:szCs w:val="24"/>
        </w:rPr>
        <w:t>ói</w:t>
      </w:r>
      <w:r w:rsidR="00505EA3" w:rsidRPr="0028364C">
        <w:rPr>
          <w:rFonts w:ascii="Times New Roman" w:hAnsi="Times New Roman" w:cs="Times New Roman"/>
          <w:sz w:val="24"/>
          <w:szCs w:val="24"/>
        </w:rPr>
        <w:t>nak teljesí</w:t>
      </w:r>
      <w:r w:rsidR="00DD018B" w:rsidRPr="0028364C">
        <w:rPr>
          <w:rFonts w:ascii="Times New Roman" w:hAnsi="Times New Roman" w:cs="Times New Roman"/>
          <w:sz w:val="24"/>
          <w:szCs w:val="24"/>
        </w:rPr>
        <w:t>t</w:t>
      </w:r>
      <w:r w:rsidR="00505EA3" w:rsidRPr="0028364C">
        <w:rPr>
          <w:rFonts w:ascii="Times New Roman" w:hAnsi="Times New Roman" w:cs="Times New Roman"/>
          <w:sz w:val="24"/>
          <w:szCs w:val="24"/>
        </w:rPr>
        <w:t>ményének elismerése és ösztönzése összhangban álljon az alábbi alapelvekkel:</w:t>
      </w:r>
    </w:p>
    <w:p w14:paraId="6DEB3BE9" w14:textId="5CD9D731" w:rsidR="008B6141" w:rsidRPr="0028364C" w:rsidRDefault="008B6141" w:rsidP="00505E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támogassa </w:t>
      </w:r>
      <w:r w:rsidR="00A10053" w:rsidRPr="0028364C">
        <w:rPr>
          <w:rFonts w:ascii="Times New Roman" w:hAnsi="Times New Roman" w:cs="Times New Roman"/>
          <w:sz w:val="24"/>
          <w:szCs w:val="24"/>
        </w:rPr>
        <w:t xml:space="preserve">a </w:t>
      </w:r>
      <w:r w:rsidR="00E1783E">
        <w:rPr>
          <w:rFonts w:ascii="Times New Roman" w:hAnsi="Times New Roman" w:cs="Times New Roman"/>
          <w:sz w:val="24"/>
          <w:szCs w:val="24"/>
        </w:rPr>
        <w:t>Bank</w:t>
      </w:r>
      <w:r w:rsidR="00E1783E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Pr="0028364C">
        <w:rPr>
          <w:rFonts w:ascii="Times New Roman" w:hAnsi="Times New Roman" w:cs="Times New Roman"/>
          <w:sz w:val="24"/>
          <w:szCs w:val="24"/>
        </w:rPr>
        <w:t>üzleti stratégiáját, célkitűzéseit</w:t>
      </w:r>
    </w:p>
    <w:p w14:paraId="74664EE8" w14:textId="18B07146" w:rsidR="00505EA3" w:rsidRPr="0028364C" w:rsidRDefault="00505EA3" w:rsidP="00505E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tükrözze a </w:t>
      </w:r>
      <w:r w:rsidR="00E1783E">
        <w:rPr>
          <w:rFonts w:ascii="Times New Roman" w:hAnsi="Times New Roman" w:cs="Times New Roman"/>
          <w:sz w:val="24"/>
          <w:szCs w:val="24"/>
        </w:rPr>
        <w:t>Bank</w:t>
      </w:r>
      <w:r w:rsidR="00E1783E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Pr="0028364C">
        <w:rPr>
          <w:rFonts w:ascii="Times New Roman" w:hAnsi="Times New Roman" w:cs="Times New Roman"/>
          <w:sz w:val="24"/>
          <w:szCs w:val="24"/>
        </w:rPr>
        <w:t>közép- és hosszú</w:t>
      </w:r>
      <w:r w:rsidR="00ED380A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Pr="0028364C">
        <w:rPr>
          <w:rFonts w:ascii="Times New Roman" w:hAnsi="Times New Roman" w:cs="Times New Roman"/>
          <w:sz w:val="24"/>
          <w:szCs w:val="24"/>
        </w:rPr>
        <w:t>távú szemléletét</w:t>
      </w:r>
      <w:r w:rsidR="008B6141" w:rsidRPr="0028364C">
        <w:rPr>
          <w:rFonts w:ascii="Times New Roman" w:hAnsi="Times New Roman" w:cs="Times New Roman"/>
          <w:sz w:val="24"/>
          <w:szCs w:val="24"/>
        </w:rPr>
        <w:t>, segítse annak megvalósulását</w:t>
      </w:r>
      <w:r w:rsidRPr="002836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DFE77" w14:textId="77777777" w:rsidR="00505EA3" w:rsidRPr="0028364C" w:rsidRDefault="00505EA3" w:rsidP="00505E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minden munkavállaló számára világos és átlátható legyen</w:t>
      </w:r>
    </w:p>
    <w:p w14:paraId="58FD10FF" w14:textId="614E603C" w:rsidR="00505EA3" w:rsidRPr="0028364C" w:rsidRDefault="00630A6A" w:rsidP="00794E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össz</w:t>
      </w:r>
      <w:r w:rsidR="00DD018B" w:rsidRPr="0028364C">
        <w:rPr>
          <w:rFonts w:ascii="Times New Roman" w:hAnsi="Times New Roman" w:cs="Times New Roman"/>
          <w:sz w:val="24"/>
          <w:szCs w:val="24"/>
        </w:rPr>
        <w:t>h</w:t>
      </w:r>
      <w:r w:rsidRPr="0028364C">
        <w:rPr>
          <w:rFonts w:ascii="Times New Roman" w:hAnsi="Times New Roman" w:cs="Times New Roman"/>
          <w:sz w:val="24"/>
          <w:szCs w:val="24"/>
        </w:rPr>
        <w:t xml:space="preserve">angban legyen a hatékony és eredményes kockázatkezeléssel </w:t>
      </w:r>
      <w:r w:rsidR="00505EA3" w:rsidRPr="0028364C">
        <w:rPr>
          <w:rFonts w:ascii="Times New Roman" w:hAnsi="Times New Roman" w:cs="Times New Roman"/>
          <w:sz w:val="24"/>
          <w:szCs w:val="24"/>
        </w:rPr>
        <w:t>alkalmazása során a 131/2011. (VII. 18.) számú Korm. rendeletben megfogalmazott arányosság elve érvényesüljön</w:t>
      </w:r>
    </w:p>
    <w:p w14:paraId="16CEC2CE" w14:textId="77777777" w:rsidR="00794ED2" w:rsidRPr="0028364C" w:rsidRDefault="00794ED2" w:rsidP="00794ED2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F81DE13" w14:textId="54234F1F" w:rsidR="00A10053" w:rsidRPr="0028364C" w:rsidRDefault="00A10053" w:rsidP="009019E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</w:t>
      </w:r>
      <w:r w:rsidR="00DF3F97">
        <w:rPr>
          <w:rFonts w:ascii="Times New Roman" w:hAnsi="Times New Roman" w:cs="Times New Roman"/>
          <w:sz w:val="24"/>
          <w:szCs w:val="24"/>
        </w:rPr>
        <w:t>Bank</w:t>
      </w:r>
      <w:r w:rsidR="00DF3F97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630A6A" w:rsidRPr="0028364C">
        <w:rPr>
          <w:rFonts w:ascii="Times New Roman" w:hAnsi="Times New Roman" w:cs="Times New Roman"/>
          <w:sz w:val="24"/>
          <w:szCs w:val="24"/>
        </w:rPr>
        <w:t>alapvető célja, hogy munkatársait</w:t>
      </w:r>
      <w:r w:rsidRPr="0028364C">
        <w:rPr>
          <w:rFonts w:ascii="Times New Roman" w:hAnsi="Times New Roman" w:cs="Times New Roman"/>
          <w:sz w:val="24"/>
          <w:szCs w:val="24"/>
        </w:rPr>
        <w:t xml:space="preserve"> a minőségi munkavégzés mellett a teljesítmény növelésére is ösztönözze és a dolgozókat érdekeltté tegye a</w:t>
      </w:r>
      <w:r w:rsidR="00630A6A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8338F1">
        <w:rPr>
          <w:rFonts w:ascii="Times New Roman" w:hAnsi="Times New Roman" w:cs="Times New Roman"/>
          <w:sz w:val="24"/>
          <w:szCs w:val="24"/>
        </w:rPr>
        <w:t xml:space="preserve">Bank </w:t>
      </w:r>
      <w:r w:rsidRPr="0028364C">
        <w:rPr>
          <w:rFonts w:ascii="Times New Roman" w:hAnsi="Times New Roman" w:cs="Times New Roman"/>
          <w:sz w:val="24"/>
          <w:szCs w:val="24"/>
        </w:rPr>
        <w:t>hosszú távú eredményes működés</w:t>
      </w:r>
      <w:r w:rsidR="008338F1">
        <w:rPr>
          <w:rFonts w:ascii="Times New Roman" w:hAnsi="Times New Roman" w:cs="Times New Roman"/>
          <w:sz w:val="24"/>
          <w:szCs w:val="24"/>
        </w:rPr>
        <w:t>é</w:t>
      </w:r>
      <w:r w:rsidRPr="0028364C">
        <w:rPr>
          <w:rFonts w:ascii="Times New Roman" w:hAnsi="Times New Roman" w:cs="Times New Roman"/>
          <w:sz w:val="24"/>
          <w:szCs w:val="24"/>
        </w:rPr>
        <w:t xml:space="preserve">ben. </w:t>
      </w:r>
    </w:p>
    <w:p w14:paraId="34317E22" w14:textId="5123CE3A" w:rsidR="005E4C00" w:rsidRPr="0028364C" w:rsidRDefault="00E33CCC" w:rsidP="009019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Az azonosított</w:t>
      </w:r>
      <w:r w:rsidR="00A10053" w:rsidRPr="0028364C">
        <w:rPr>
          <w:rFonts w:ascii="Times New Roman" w:hAnsi="Times New Roman" w:cs="Times New Roman"/>
          <w:sz w:val="24"/>
          <w:szCs w:val="24"/>
        </w:rPr>
        <w:t xml:space="preserve"> személyi körbe</w:t>
      </w:r>
      <w:r w:rsidR="00630A6A" w:rsidRPr="0028364C">
        <w:rPr>
          <w:rFonts w:ascii="Times New Roman" w:hAnsi="Times New Roman" w:cs="Times New Roman"/>
          <w:sz w:val="24"/>
          <w:szCs w:val="24"/>
        </w:rPr>
        <w:t xml:space="preserve"> – lsd. 5.</w:t>
      </w:r>
      <w:r w:rsidR="00392988" w:rsidRPr="0028364C">
        <w:rPr>
          <w:rFonts w:ascii="Times New Roman" w:hAnsi="Times New Roman" w:cs="Times New Roman"/>
          <w:sz w:val="24"/>
          <w:szCs w:val="24"/>
        </w:rPr>
        <w:t>1</w:t>
      </w:r>
      <w:r w:rsidR="00630A6A" w:rsidRPr="0028364C">
        <w:rPr>
          <w:rFonts w:ascii="Times New Roman" w:hAnsi="Times New Roman" w:cs="Times New Roman"/>
          <w:sz w:val="24"/>
          <w:szCs w:val="24"/>
        </w:rPr>
        <w:t>. -</w:t>
      </w:r>
      <w:r w:rsidR="00AD6213" w:rsidRPr="0028364C">
        <w:rPr>
          <w:rFonts w:ascii="Times New Roman" w:hAnsi="Times New Roman" w:cs="Times New Roman"/>
          <w:sz w:val="24"/>
          <w:szCs w:val="24"/>
        </w:rPr>
        <w:t xml:space="preserve"> tartozó vezető állású személyek</w:t>
      </w:r>
      <w:r w:rsidR="00A10053" w:rsidRPr="0028364C">
        <w:rPr>
          <w:rFonts w:ascii="Times New Roman" w:hAnsi="Times New Roman" w:cs="Times New Roman"/>
          <w:sz w:val="24"/>
          <w:szCs w:val="24"/>
        </w:rPr>
        <w:t xml:space="preserve"> és munkavállalók nem köthetnek olyan fedezeti ügyletet, amely a javadalmazásukra vonatkozó előírásokban foglalt kockázatvállalások hatásait kiküszöbölné, vagy harmadik személyre áthárítaná. </w:t>
      </w:r>
    </w:p>
    <w:p w14:paraId="69C0A24F" w14:textId="77777777" w:rsidR="00A10053" w:rsidRPr="0028364C" w:rsidRDefault="00A10053" w:rsidP="005E4C00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</w:p>
    <w:p w14:paraId="1E1FA73D" w14:textId="77777777" w:rsidR="006A34CA" w:rsidRPr="0028364C" w:rsidRDefault="00A10053" w:rsidP="009019E6">
      <w:pPr>
        <w:pStyle w:val="Listaszerbekezds"/>
        <w:numPr>
          <w:ilvl w:val="0"/>
          <w:numId w:val="1"/>
        </w:numPr>
        <w:ind w:left="426" w:hanging="426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75937742"/>
      <w:r w:rsidRPr="0028364C">
        <w:rPr>
          <w:rFonts w:ascii="Times New Roman" w:hAnsi="Times New Roman" w:cs="Times New Roman"/>
          <w:b/>
          <w:sz w:val="28"/>
          <w:szCs w:val="28"/>
        </w:rPr>
        <w:t>Fogalmi meghatározások</w:t>
      </w:r>
      <w:bookmarkEnd w:id="1"/>
    </w:p>
    <w:p w14:paraId="3F5F9046" w14:textId="77777777" w:rsidR="0087621C" w:rsidRPr="0028364C" w:rsidRDefault="0087621C" w:rsidP="009019E6">
      <w:pPr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</w:t>
      </w:r>
      <w:r w:rsidRPr="0028364C">
        <w:rPr>
          <w:rFonts w:ascii="Times New Roman" w:eastAsiaTheme="minorHAnsi" w:hAnsi="Times New Roman" w:cs="Times New Roman"/>
          <w:sz w:val="24"/>
          <w:szCs w:val="24"/>
        </w:rPr>
        <w:t xml:space="preserve"> szabályzat helyes értelmezéséhez az alábbi fogalmakat kell figyelembe venni:</w:t>
      </w:r>
    </w:p>
    <w:p w14:paraId="27F0BDF5" w14:textId="25763AC0" w:rsidR="0087621C" w:rsidRPr="0028364C" w:rsidRDefault="0087621C" w:rsidP="0087621C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8364C">
        <w:rPr>
          <w:rFonts w:ascii="Times New Roman" w:eastAsiaTheme="minorHAnsi" w:hAnsi="Times New Roman" w:cs="Times New Roman"/>
          <w:sz w:val="24"/>
          <w:szCs w:val="24"/>
        </w:rPr>
        <w:t xml:space="preserve">a „Javadalmazás” jelentése: a </w:t>
      </w:r>
      <w:r w:rsidR="00EC4CE1">
        <w:rPr>
          <w:rFonts w:ascii="Times New Roman" w:eastAsiaTheme="minorHAnsi" w:hAnsi="Times New Roman" w:cs="Times New Roman"/>
          <w:sz w:val="24"/>
          <w:szCs w:val="24"/>
        </w:rPr>
        <w:t>Bank</w:t>
      </w:r>
      <w:r w:rsidR="00EC4CE1" w:rsidRPr="0028364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8364C">
        <w:rPr>
          <w:rFonts w:ascii="Times New Roman" w:eastAsiaTheme="minorHAnsi" w:hAnsi="Times New Roman" w:cs="Times New Roman"/>
          <w:sz w:val="24"/>
          <w:szCs w:val="24"/>
        </w:rPr>
        <w:t>által a vezető állású személy, munkavállaló részére minden, a munkaviszony alapján közvetlenül vagy kö</w:t>
      </w:r>
      <w:r w:rsidR="00C37B40" w:rsidRPr="0028364C">
        <w:rPr>
          <w:rFonts w:ascii="Times New Roman" w:eastAsiaTheme="minorHAnsi" w:hAnsi="Times New Roman" w:cs="Times New Roman"/>
          <w:sz w:val="24"/>
          <w:szCs w:val="24"/>
        </w:rPr>
        <w:t>zvetve, pénzbeli, természetbeni</w:t>
      </w:r>
      <w:r w:rsidR="00AD72B5" w:rsidRPr="0028364C">
        <w:rPr>
          <w:rFonts w:ascii="Times New Roman" w:eastAsiaTheme="minorHAnsi" w:hAnsi="Times New Roman" w:cs="Times New Roman"/>
          <w:sz w:val="24"/>
          <w:szCs w:val="24"/>
        </w:rPr>
        <w:t>, vagyoni jog, vagy egyéb formában nyújtott juttatás</w:t>
      </w:r>
    </w:p>
    <w:p w14:paraId="59B425B0" w14:textId="0CC548A2" w:rsidR="00D71B37" w:rsidRPr="0028364C" w:rsidRDefault="00D71B37" w:rsidP="00D71B37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8364C">
        <w:rPr>
          <w:rFonts w:ascii="Times New Roman" w:eastAsiaTheme="minorHAnsi" w:hAnsi="Times New Roman" w:cs="Times New Roman"/>
          <w:sz w:val="24"/>
          <w:szCs w:val="24"/>
        </w:rPr>
        <w:t>a</w:t>
      </w:r>
      <w:r w:rsidR="005F41D5" w:rsidRPr="0028364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8364C">
        <w:rPr>
          <w:rFonts w:ascii="Times New Roman" w:eastAsiaTheme="minorHAnsi" w:hAnsi="Times New Roman" w:cs="Times New Roman"/>
          <w:sz w:val="24"/>
          <w:szCs w:val="24"/>
        </w:rPr>
        <w:t xml:space="preserve">„Prémium” jelentése: </w:t>
      </w:r>
      <w:r w:rsidR="00F22AFC" w:rsidRPr="0028364C">
        <w:rPr>
          <w:rFonts w:ascii="Times New Roman" w:eastAsiaTheme="minorHAnsi" w:hAnsi="Times New Roman" w:cs="Times New Roman"/>
          <w:sz w:val="24"/>
          <w:szCs w:val="24"/>
        </w:rPr>
        <w:t xml:space="preserve">meghatározott </w:t>
      </w:r>
      <w:r w:rsidRPr="0028364C">
        <w:rPr>
          <w:rFonts w:ascii="Times New Roman" w:eastAsiaTheme="minorHAnsi" w:hAnsi="Times New Roman" w:cs="Times New Roman"/>
          <w:sz w:val="24"/>
          <w:szCs w:val="24"/>
        </w:rPr>
        <w:t>személyi kör teljesítményjavadalmazása</w:t>
      </w:r>
    </w:p>
    <w:p w14:paraId="6F16A7ED" w14:textId="77777777" w:rsidR="0087621C" w:rsidRPr="0028364C" w:rsidRDefault="00D71B37" w:rsidP="00D71B37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8364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7621C" w:rsidRPr="0028364C">
        <w:rPr>
          <w:rFonts w:ascii="Times New Roman" w:eastAsiaTheme="minorHAnsi" w:hAnsi="Times New Roman" w:cs="Times New Roman"/>
          <w:sz w:val="24"/>
          <w:szCs w:val="24"/>
        </w:rPr>
        <w:t>„</w:t>
      </w:r>
      <w:r w:rsidR="00E33CCC" w:rsidRPr="0028364C">
        <w:rPr>
          <w:rFonts w:ascii="Times New Roman" w:eastAsiaTheme="minorHAnsi" w:hAnsi="Times New Roman" w:cs="Times New Roman"/>
          <w:sz w:val="24"/>
          <w:szCs w:val="24"/>
        </w:rPr>
        <w:t>Célprémium” jelentése: az azonosított</w:t>
      </w:r>
      <w:r w:rsidR="0087621C" w:rsidRPr="0028364C">
        <w:rPr>
          <w:rFonts w:ascii="Times New Roman" w:eastAsiaTheme="minorHAnsi" w:hAnsi="Times New Roman" w:cs="Times New Roman"/>
          <w:sz w:val="24"/>
          <w:szCs w:val="24"/>
        </w:rPr>
        <w:t xml:space="preserve"> személyi körbe nem tartozó üzleti és támogató munkavállalók teljesítményjavadalmazása</w:t>
      </w:r>
    </w:p>
    <w:p w14:paraId="53352AE1" w14:textId="77777777" w:rsidR="00630A6A" w:rsidRPr="0028364C" w:rsidRDefault="0087621C" w:rsidP="0087621C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8364C">
        <w:rPr>
          <w:rFonts w:ascii="Times New Roman" w:eastAsiaTheme="minorHAnsi" w:hAnsi="Times New Roman" w:cs="Times New Roman"/>
          <w:sz w:val="24"/>
          <w:szCs w:val="24"/>
        </w:rPr>
        <w:t>„Jutalék” jelentése: termékek értékesítéséhez, kezeléséhez kapcs</w:t>
      </w:r>
      <w:r w:rsidR="00630A6A" w:rsidRPr="0028364C">
        <w:rPr>
          <w:rFonts w:ascii="Times New Roman" w:eastAsiaTheme="minorHAnsi" w:hAnsi="Times New Roman" w:cs="Times New Roman"/>
          <w:sz w:val="24"/>
          <w:szCs w:val="24"/>
        </w:rPr>
        <w:t>olódó teljesítményjavadalmazás,</w:t>
      </w:r>
    </w:p>
    <w:p w14:paraId="39BAD647" w14:textId="77777777" w:rsidR="0087621C" w:rsidRPr="0028364C" w:rsidRDefault="0087621C" w:rsidP="0087621C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8364C">
        <w:rPr>
          <w:rFonts w:ascii="Times New Roman" w:eastAsiaTheme="minorHAnsi" w:hAnsi="Times New Roman" w:cs="Times New Roman"/>
          <w:sz w:val="24"/>
          <w:szCs w:val="24"/>
        </w:rPr>
        <w:t>„Jutalom” jelentése: a dolgozók mun</w:t>
      </w:r>
      <w:r w:rsidR="00630A6A" w:rsidRPr="0028364C">
        <w:rPr>
          <w:rFonts w:ascii="Times New Roman" w:eastAsiaTheme="minorHAnsi" w:hAnsi="Times New Roman" w:cs="Times New Roman"/>
          <w:sz w:val="24"/>
          <w:szCs w:val="24"/>
        </w:rPr>
        <w:t xml:space="preserve">kájának utólagos </w:t>
      </w:r>
      <w:r w:rsidRPr="0028364C">
        <w:rPr>
          <w:rFonts w:ascii="Times New Roman" w:eastAsiaTheme="minorHAnsi" w:hAnsi="Times New Roman" w:cs="Times New Roman"/>
          <w:sz w:val="24"/>
          <w:szCs w:val="24"/>
        </w:rPr>
        <w:t>elismerése</w:t>
      </w:r>
    </w:p>
    <w:p w14:paraId="4FBB21C8" w14:textId="43B8AEAB" w:rsidR="00120EB0" w:rsidRPr="0028364C" w:rsidRDefault="00120EB0" w:rsidP="00120EB0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az „Alapjavadalmazás” jelentése: a javadalmazás azon része, melyet a </w:t>
      </w:r>
      <w:r w:rsidR="00EC4CE1">
        <w:rPr>
          <w:rFonts w:ascii="Times New Roman" w:hAnsi="Times New Roman" w:cs="Times New Roman"/>
          <w:sz w:val="24"/>
          <w:szCs w:val="24"/>
        </w:rPr>
        <w:t>Bank</w:t>
      </w:r>
      <w:r w:rsidRPr="0028364C">
        <w:rPr>
          <w:rFonts w:ascii="Times New Roman" w:hAnsi="Times New Roman" w:cs="Times New Roman"/>
          <w:sz w:val="24"/>
          <w:szCs w:val="24"/>
        </w:rPr>
        <w:t xml:space="preserve"> a vezető állású személy/munkavállaló részére munkabérként rendszeresen kifizet a munkaszerződés alapján, és amely megfelelően tükrözi a tisztség betöltéséhez szükséges szakmai tapasztalatokat és felelősséget, ideértve minden olyan juttatást, amelyet más munkavállaló is megkap a vonatkozó belső szabályzatok és eljárások szerint.</w:t>
      </w:r>
    </w:p>
    <w:p w14:paraId="590BD424" w14:textId="1F11A493" w:rsidR="00120EB0" w:rsidRPr="0028364C" w:rsidRDefault="00120EB0" w:rsidP="00120EB0">
      <w:pPr>
        <w:pStyle w:val="Listaszerbekezds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„Teljesítményjavadalmazás” jelentése: a javadalmazás azon része, amelyet a </w:t>
      </w:r>
      <w:r w:rsidR="00EC4CE1">
        <w:rPr>
          <w:rFonts w:ascii="Times New Roman" w:hAnsi="Times New Roman" w:cs="Times New Roman"/>
          <w:sz w:val="24"/>
          <w:szCs w:val="24"/>
        </w:rPr>
        <w:t xml:space="preserve">Bank </w:t>
      </w:r>
      <w:r w:rsidRPr="0028364C">
        <w:rPr>
          <w:rFonts w:ascii="Times New Roman" w:hAnsi="Times New Roman" w:cs="Times New Roman"/>
          <w:sz w:val="24"/>
          <w:szCs w:val="24"/>
        </w:rPr>
        <w:t>az alapjavadalmazáson felül a vezető állású személy és a munkavállaló részére adhat, a munkaszerződésében meghatározottakat meghaladó teljesítmény nyújtás, vagy abban nem rögzített feladat ellátás esetén.</w:t>
      </w:r>
    </w:p>
    <w:p w14:paraId="35D644CB" w14:textId="77777777" w:rsidR="000D78B7" w:rsidRPr="0028364C" w:rsidRDefault="000D78B7" w:rsidP="000D78B7">
      <w:pPr>
        <w:pStyle w:val="Listaszerbekezds"/>
        <w:spacing w:after="24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1514069F" w14:textId="77777777" w:rsidR="00794ED2" w:rsidRPr="0028364C" w:rsidRDefault="00794ED2" w:rsidP="000D78B7">
      <w:pPr>
        <w:pStyle w:val="Listaszerbekezds"/>
        <w:spacing w:after="24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3C4EB490" w14:textId="77777777" w:rsidR="00794ED2" w:rsidRDefault="00794ED2" w:rsidP="000D78B7">
      <w:pPr>
        <w:pStyle w:val="Listaszerbekezds"/>
        <w:spacing w:after="24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4CF21B88" w14:textId="77777777" w:rsidR="00524585" w:rsidRDefault="00524585" w:rsidP="000D78B7">
      <w:pPr>
        <w:pStyle w:val="Listaszerbekezds"/>
        <w:spacing w:after="24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7F16FD6E" w14:textId="77777777" w:rsidR="00524585" w:rsidRPr="0028364C" w:rsidRDefault="00524585" w:rsidP="000D78B7">
      <w:pPr>
        <w:pStyle w:val="Listaszerbekezds"/>
        <w:spacing w:after="24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7819DFCF" w14:textId="77777777" w:rsidR="00376751" w:rsidRPr="0028364C" w:rsidRDefault="00376751" w:rsidP="009019E6">
      <w:pPr>
        <w:pStyle w:val="Listaszerbekezds"/>
        <w:numPr>
          <w:ilvl w:val="0"/>
          <w:numId w:val="1"/>
        </w:numPr>
        <w:ind w:left="426" w:hanging="426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75937743"/>
      <w:r w:rsidRPr="0028364C">
        <w:rPr>
          <w:rFonts w:ascii="Times New Roman" w:hAnsi="Times New Roman" w:cs="Times New Roman"/>
          <w:b/>
          <w:sz w:val="28"/>
          <w:szCs w:val="28"/>
        </w:rPr>
        <w:lastRenderedPageBreak/>
        <w:t>Kapcsolódó jogszabályok</w:t>
      </w:r>
      <w:r w:rsidR="00F16D74" w:rsidRPr="0028364C">
        <w:rPr>
          <w:rFonts w:ascii="Times New Roman" w:hAnsi="Times New Roman" w:cs="Times New Roman"/>
          <w:b/>
          <w:sz w:val="28"/>
          <w:szCs w:val="28"/>
        </w:rPr>
        <w:t xml:space="preserve"> és belső szabályzatok</w:t>
      </w:r>
      <w:bookmarkEnd w:id="2"/>
    </w:p>
    <w:p w14:paraId="13ABEDA8" w14:textId="77777777" w:rsidR="00F16D74" w:rsidRPr="0028364C" w:rsidRDefault="00F16D74" w:rsidP="009019E6">
      <w:pPr>
        <w:spacing w:after="0" w:line="240" w:lineRule="auto"/>
        <w:ind w:left="360" w:hanging="360"/>
        <w:jc w:val="both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28364C">
        <w:rPr>
          <w:rFonts w:ascii="Times New Roman" w:eastAsiaTheme="minorHAnsi" w:hAnsi="Times New Roman" w:cs="Times New Roman"/>
          <w:sz w:val="24"/>
          <w:szCs w:val="24"/>
          <w:u w:val="single"/>
        </w:rPr>
        <w:t>Jogszabályok:</w:t>
      </w:r>
    </w:p>
    <w:p w14:paraId="45C8F769" w14:textId="77777777" w:rsidR="00376751" w:rsidRPr="0028364C" w:rsidRDefault="00376751" w:rsidP="003767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8364C">
        <w:rPr>
          <w:rFonts w:ascii="Times New Roman" w:eastAsiaTheme="minorHAnsi" w:hAnsi="Times New Roman" w:cs="Times New Roman"/>
          <w:sz w:val="24"/>
          <w:szCs w:val="24"/>
        </w:rPr>
        <w:t>A hitelintézetekről és a pénzügyi vállalkozásokról szóló 2013. évi CCXXXVII. évi törvény (Hpt.)</w:t>
      </w:r>
    </w:p>
    <w:p w14:paraId="49C84585" w14:textId="77777777" w:rsidR="00376751" w:rsidRPr="0028364C" w:rsidRDefault="00376751" w:rsidP="003767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8364C">
        <w:rPr>
          <w:rFonts w:ascii="Times New Roman" w:eastAsiaTheme="minorHAnsi" w:hAnsi="Times New Roman" w:cs="Times New Roman"/>
          <w:sz w:val="24"/>
          <w:szCs w:val="24"/>
        </w:rPr>
        <w:t>A befektetési szolgáltatókról szóló 2007. évi CXXXVIII. törvény (Bszt.)</w:t>
      </w:r>
    </w:p>
    <w:p w14:paraId="231FD902" w14:textId="30DD34C6" w:rsidR="00376751" w:rsidRPr="0028364C" w:rsidRDefault="00376751" w:rsidP="003767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8364C">
        <w:rPr>
          <w:rFonts w:ascii="Times New Roman" w:eastAsiaTheme="minorHAnsi" w:hAnsi="Times New Roman" w:cs="Times New Roman"/>
          <w:sz w:val="24"/>
          <w:szCs w:val="24"/>
        </w:rPr>
        <w:t>A javadalmazási politikának a hitelintézet és a befektetési vállalkozás mérete, tevékenységének jellege, köre és jogi formájából eredő sajátossága figyelembevételével történő alkalmazásáról szóló 131/2011. (VII. 18.) Kormányrendelet</w:t>
      </w:r>
      <w:r w:rsidR="006855D9">
        <w:rPr>
          <w:rFonts w:ascii="Times New Roman" w:eastAsiaTheme="minorHAnsi" w:hAnsi="Times New Roman" w:cs="Times New Roman"/>
          <w:sz w:val="24"/>
          <w:szCs w:val="24"/>
        </w:rPr>
        <w:t xml:space="preserve"> (továbbiakban: 131/2011. (VII.18.) Korm. rendelet, vagy Kormányrendelet)</w:t>
      </w:r>
    </w:p>
    <w:p w14:paraId="17D4E577" w14:textId="77777777" w:rsidR="00376751" w:rsidRDefault="00376751" w:rsidP="003767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8364C">
        <w:rPr>
          <w:rFonts w:ascii="Times New Roman" w:eastAsiaTheme="minorHAnsi" w:hAnsi="Times New Roman" w:cs="Times New Roman"/>
          <w:sz w:val="24"/>
          <w:szCs w:val="24"/>
        </w:rPr>
        <w:t>A Magyar Nemzeti Bank 3/2017. (II.9.) számú ajánlása a javadalmazási politika alkalmazásáról</w:t>
      </w:r>
    </w:p>
    <w:p w14:paraId="30401951" w14:textId="25501A4A" w:rsidR="004439BB" w:rsidRPr="004439BB" w:rsidRDefault="004439BB" w:rsidP="003767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439BB">
        <w:rPr>
          <w:rFonts w:ascii="Times New Roman" w:eastAsiaTheme="minorHAnsi" w:hAnsi="Times New Roman" w:cs="Times New Roman"/>
          <w:sz w:val="24"/>
          <w:szCs w:val="24"/>
        </w:rPr>
        <w:t xml:space="preserve">A Magyar Nemzeti Bank </w:t>
      </w:r>
      <w:r w:rsidR="00404F12">
        <w:rPr>
          <w:rFonts w:ascii="Times New Roman" w:eastAsiaTheme="minorHAnsi" w:hAnsi="Times New Roman" w:cs="Times New Roman"/>
          <w:sz w:val="24"/>
          <w:szCs w:val="24"/>
        </w:rPr>
        <w:t>1</w:t>
      </w:r>
      <w:r w:rsidRPr="004439BB">
        <w:rPr>
          <w:rFonts w:ascii="Times New Roman" w:eastAsiaTheme="minorHAnsi" w:hAnsi="Times New Roman" w:cs="Times New Roman"/>
          <w:sz w:val="24"/>
          <w:szCs w:val="24"/>
        </w:rPr>
        <w:t xml:space="preserve">3/2018 (III.6.) számú ajánlása </w:t>
      </w:r>
      <w:r w:rsidRPr="00B40543">
        <w:rPr>
          <w:bCs/>
          <w:sz w:val="24"/>
          <w:szCs w:val="24"/>
        </w:rPr>
        <w:t>a lakossági banki termékek és szolgáltatások értékesítéséhez kapcsolódó javadalmazási politikáról és az ezzel kapcsolatos belső eljárási szabályokról</w:t>
      </w:r>
    </w:p>
    <w:p w14:paraId="5D73C17F" w14:textId="77777777" w:rsidR="00376751" w:rsidRPr="0028364C" w:rsidRDefault="00376751" w:rsidP="003767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8364C">
        <w:rPr>
          <w:rFonts w:ascii="Times New Roman" w:eastAsiaTheme="minorHAnsi" w:hAnsi="Times New Roman" w:cs="Times New Roman"/>
          <w:sz w:val="24"/>
          <w:szCs w:val="24"/>
        </w:rPr>
        <w:t>A hitelintézetek tevékenységéhez való hozzáférésről és a hitelintézetek és befektetési vállalkozások prudenciális felügyeletéről, a 2002/87/EK irányelv módosításáról, a 2006/48/EK és a 2006/49/EK irányelv hatályon kívül helyezéséről szóló az Európai Parlament és a Tanács 2013. június 26-i 2013/36/EU irányelve (CRD IV, melyet Magyarország a Hpt-ben implementált)</w:t>
      </w:r>
    </w:p>
    <w:p w14:paraId="3CD318FA" w14:textId="53EB1A14" w:rsidR="00376751" w:rsidRPr="0028364C" w:rsidRDefault="00376751" w:rsidP="003767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8364C">
        <w:rPr>
          <w:rFonts w:ascii="Times New Roman" w:eastAsiaTheme="minorHAnsi" w:hAnsi="Times New Roman" w:cs="Times New Roman"/>
          <w:sz w:val="24"/>
          <w:szCs w:val="24"/>
        </w:rPr>
        <w:t xml:space="preserve">A hitelintézetekre és befektetési vállalkozásokra vonatkozó prudenciális követelményekről és a 648/2012/EU rendelet módosításáról </w:t>
      </w:r>
      <w:r w:rsidR="006855D9">
        <w:rPr>
          <w:rFonts w:ascii="Times New Roman" w:eastAsiaTheme="minorHAnsi" w:hAnsi="Times New Roman" w:cs="Times New Roman"/>
          <w:sz w:val="24"/>
          <w:szCs w:val="24"/>
        </w:rPr>
        <w:t>szóló a</w:t>
      </w:r>
      <w:r w:rsidRPr="0028364C">
        <w:rPr>
          <w:rFonts w:ascii="Times New Roman" w:eastAsiaTheme="minorHAnsi" w:hAnsi="Times New Roman" w:cs="Times New Roman"/>
          <w:sz w:val="24"/>
          <w:szCs w:val="24"/>
        </w:rPr>
        <w:t>z Európai Parlament és a Tanács 575/2013/EU rendelete (a továbbiakban: CRR vagy 575/2013/EU rendelet)</w:t>
      </w:r>
    </w:p>
    <w:p w14:paraId="0972019F" w14:textId="61F03AEF" w:rsidR="00376751" w:rsidRPr="0028364C" w:rsidRDefault="00376751" w:rsidP="003767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8364C">
        <w:rPr>
          <w:rFonts w:ascii="Times New Roman" w:eastAsiaTheme="minorHAnsi" w:hAnsi="Times New Roman" w:cs="Times New Roman"/>
          <w:sz w:val="24"/>
          <w:szCs w:val="24"/>
        </w:rPr>
        <w:t>A Bizottság 604/2014/EU felhatalmazáson alapuló rendelete a 2013/36/EU európai parlamenti és tanácsi irányelvnek a szakmai tevékenységükkel valamely intézmény kockázati profiljára jelentős hatást gyakorló munkavállalók kategorizálásának szabályozási technikai szt</w:t>
      </w:r>
      <w:r w:rsidR="00212B4E" w:rsidRPr="0028364C">
        <w:rPr>
          <w:rFonts w:ascii="Times New Roman" w:eastAsiaTheme="minorHAnsi" w:hAnsi="Times New Roman" w:cs="Times New Roman"/>
          <w:sz w:val="24"/>
          <w:szCs w:val="24"/>
        </w:rPr>
        <w:t>e</w:t>
      </w:r>
      <w:r w:rsidRPr="0028364C">
        <w:rPr>
          <w:rFonts w:ascii="Times New Roman" w:eastAsiaTheme="minorHAnsi" w:hAnsi="Times New Roman" w:cs="Times New Roman"/>
          <w:sz w:val="24"/>
          <w:szCs w:val="24"/>
        </w:rPr>
        <w:t>nd</w:t>
      </w:r>
      <w:r w:rsidR="00212B4E" w:rsidRPr="0028364C">
        <w:rPr>
          <w:rFonts w:ascii="Times New Roman" w:eastAsiaTheme="minorHAnsi" w:hAnsi="Times New Roman" w:cs="Times New Roman"/>
          <w:sz w:val="24"/>
          <w:szCs w:val="24"/>
        </w:rPr>
        <w:t>e</w:t>
      </w:r>
      <w:r w:rsidRPr="0028364C">
        <w:rPr>
          <w:rFonts w:ascii="Times New Roman" w:eastAsiaTheme="minorHAnsi" w:hAnsi="Times New Roman" w:cs="Times New Roman"/>
          <w:sz w:val="24"/>
          <w:szCs w:val="24"/>
        </w:rPr>
        <w:t>rd</w:t>
      </w:r>
      <w:r w:rsidR="00212B4E" w:rsidRPr="0028364C">
        <w:rPr>
          <w:rFonts w:ascii="Times New Roman" w:eastAsiaTheme="minorHAnsi" w:hAnsi="Times New Roman" w:cs="Times New Roman"/>
          <w:sz w:val="24"/>
          <w:szCs w:val="24"/>
        </w:rPr>
        <w:t>e</w:t>
      </w:r>
      <w:r w:rsidRPr="0028364C">
        <w:rPr>
          <w:rFonts w:ascii="Times New Roman" w:eastAsiaTheme="minorHAnsi" w:hAnsi="Times New Roman" w:cs="Times New Roman"/>
          <w:sz w:val="24"/>
          <w:szCs w:val="24"/>
        </w:rPr>
        <w:t>k tekintetében történő kiegészítéséről</w:t>
      </w:r>
      <w:r w:rsidR="006855D9">
        <w:rPr>
          <w:rFonts w:ascii="Times New Roman" w:eastAsiaTheme="minorHAnsi" w:hAnsi="Times New Roman" w:cs="Times New Roman"/>
          <w:sz w:val="24"/>
          <w:szCs w:val="24"/>
        </w:rPr>
        <w:t xml:space="preserve"> (a továbbiakban: 604/2014/EU rendelet)</w:t>
      </w:r>
    </w:p>
    <w:p w14:paraId="75B4D938" w14:textId="38217B55" w:rsidR="00376751" w:rsidRPr="0028364C" w:rsidRDefault="00376751" w:rsidP="003767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462/2015. (XII. 29.) sz., a jelzáloghitel nyújtásával, közvetítéssel kapcsolatos eljárásra, a hiteltanácsadásra és a foglalkoztatottak szakmai ismereteire vonatkozó szabályokról szóló Kormányrendelet </w:t>
      </w:r>
      <w:r w:rsidR="00004067">
        <w:rPr>
          <w:rFonts w:ascii="Times New Roman" w:hAnsi="Times New Roman" w:cs="Times New Roman"/>
          <w:sz w:val="24"/>
          <w:szCs w:val="24"/>
        </w:rPr>
        <w:t>-</w:t>
      </w:r>
    </w:p>
    <w:p w14:paraId="35FE3CD8" w14:textId="641EA383" w:rsidR="00376751" w:rsidRPr="0028364C" w:rsidRDefault="00120EB0" w:rsidP="0037675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2012</w:t>
      </w:r>
      <w:r w:rsidR="00376751" w:rsidRPr="0028364C">
        <w:rPr>
          <w:rFonts w:ascii="Times New Roman" w:hAnsi="Times New Roman" w:cs="Times New Roman"/>
          <w:sz w:val="24"/>
          <w:szCs w:val="24"/>
        </w:rPr>
        <w:t>.</w:t>
      </w:r>
      <w:r w:rsidR="00442F8D">
        <w:rPr>
          <w:rFonts w:ascii="Times New Roman" w:hAnsi="Times New Roman" w:cs="Times New Roman"/>
          <w:sz w:val="24"/>
          <w:szCs w:val="24"/>
        </w:rPr>
        <w:t xml:space="preserve"> </w:t>
      </w:r>
      <w:r w:rsidR="00376751" w:rsidRPr="0028364C">
        <w:rPr>
          <w:rFonts w:ascii="Times New Roman" w:hAnsi="Times New Roman" w:cs="Times New Roman"/>
          <w:sz w:val="24"/>
          <w:szCs w:val="24"/>
        </w:rPr>
        <w:t>évi I. törvény, a Munka Törvénykönyvéről</w:t>
      </w:r>
    </w:p>
    <w:p w14:paraId="7570FBEA" w14:textId="77777777" w:rsidR="00A71DBA" w:rsidRPr="0028364C" w:rsidRDefault="00A71DBA" w:rsidP="00A7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D2ADC" w14:textId="3BA07813" w:rsidR="00376751" w:rsidRPr="0028364C" w:rsidRDefault="004C648E" w:rsidP="009019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364C">
        <w:rPr>
          <w:rFonts w:ascii="Times New Roman" w:hAnsi="Times New Roman" w:cs="Times New Roman"/>
          <w:sz w:val="24"/>
          <w:szCs w:val="24"/>
          <w:u w:val="single"/>
        </w:rPr>
        <w:t>Be</w:t>
      </w:r>
      <w:r w:rsidR="00F16D74" w:rsidRPr="0028364C"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28364C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F16D74" w:rsidRPr="0028364C">
        <w:rPr>
          <w:rFonts w:ascii="Times New Roman" w:hAnsi="Times New Roman" w:cs="Times New Roman"/>
          <w:sz w:val="24"/>
          <w:szCs w:val="24"/>
          <w:u w:val="single"/>
        </w:rPr>
        <w:t>ő szabályzatok:</w:t>
      </w:r>
    </w:p>
    <w:p w14:paraId="7EE1EE4B" w14:textId="389D6F04" w:rsidR="00F16D74" w:rsidRPr="0028364C" w:rsidRDefault="00F16D74" w:rsidP="00F16D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Duna Takarék Bank Zrt. (DTB) </w:t>
      </w:r>
      <w:r w:rsidR="002F7C6E" w:rsidRPr="0028364C">
        <w:rPr>
          <w:rFonts w:ascii="Times New Roman" w:hAnsi="Times New Roman" w:cs="Times New Roman"/>
          <w:sz w:val="24"/>
          <w:szCs w:val="24"/>
        </w:rPr>
        <w:t xml:space="preserve">központi teljesítményértékelési és mozgóbérezési </w:t>
      </w:r>
      <w:r w:rsidRPr="0028364C">
        <w:rPr>
          <w:rFonts w:ascii="Times New Roman" w:hAnsi="Times New Roman" w:cs="Times New Roman"/>
          <w:sz w:val="24"/>
          <w:szCs w:val="24"/>
        </w:rPr>
        <w:t xml:space="preserve"> rendszerének alapelvei</w:t>
      </w:r>
      <w:r w:rsidR="00C2008A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C2008A" w:rsidRPr="0028364C">
        <w:rPr>
          <w:rFonts w:ascii="Times New Roman" w:hAnsi="Times New Roman" w:cs="Times New Roman"/>
          <w:i/>
          <w:sz w:val="24"/>
          <w:szCs w:val="24"/>
        </w:rPr>
        <w:t>(jelen szabályzat 3</w:t>
      </w:r>
      <w:r w:rsidR="00EE1B49" w:rsidRPr="0028364C">
        <w:rPr>
          <w:rFonts w:ascii="Times New Roman" w:hAnsi="Times New Roman" w:cs="Times New Roman"/>
          <w:i/>
          <w:sz w:val="24"/>
          <w:szCs w:val="24"/>
        </w:rPr>
        <w:t>. sz. melléklete)</w:t>
      </w:r>
    </w:p>
    <w:p w14:paraId="3C7FB22D" w14:textId="5D703C96" w:rsidR="00F16D74" w:rsidRPr="0028364C" w:rsidRDefault="00F16D74" w:rsidP="00F16D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Duna Kavics egyéni érdekeltségi ösztönző rendszer  utasítás </w:t>
      </w:r>
      <w:r w:rsidR="00C2008A" w:rsidRPr="0028364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40E56" w:rsidRPr="0028364C">
        <w:rPr>
          <w:rFonts w:ascii="Times New Roman" w:hAnsi="Times New Roman" w:cs="Times New Roman"/>
          <w:bCs/>
          <w:i/>
          <w:sz w:val="24"/>
          <w:szCs w:val="24"/>
        </w:rPr>
        <w:t>(jelen szabályzat 5</w:t>
      </w:r>
      <w:r w:rsidR="00EE1B49" w:rsidRPr="0028364C">
        <w:rPr>
          <w:rFonts w:ascii="Times New Roman" w:hAnsi="Times New Roman" w:cs="Times New Roman"/>
          <w:bCs/>
          <w:i/>
          <w:sz w:val="24"/>
          <w:szCs w:val="24"/>
        </w:rPr>
        <w:t>. sz. melléklete)</w:t>
      </w:r>
      <w:r w:rsidR="00EE1B49" w:rsidRPr="0028364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E336CD" w14:textId="33E34244" w:rsidR="00F16D74" w:rsidRPr="0028364C" w:rsidRDefault="002B3F55" w:rsidP="002B3F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Duna Takarék Bank Zrt. m</w:t>
      </w:r>
      <w:r w:rsidR="00F16D74" w:rsidRPr="0028364C">
        <w:rPr>
          <w:rFonts w:ascii="Times New Roman" w:hAnsi="Times New Roman" w:cs="Times New Roman"/>
          <w:sz w:val="24"/>
          <w:szCs w:val="24"/>
        </w:rPr>
        <w:t>unkavállalói részére biztosított gépjárművek</w:t>
      </w:r>
      <w:r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F16D74" w:rsidRPr="0028364C">
        <w:rPr>
          <w:rFonts w:ascii="Times New Roman" w:hAnsi="Times New Roman" w:cs="Times New Roman"/>
          <w:sz w:val="24"/>
          <w:szCs w:val="24"/>
        </w:rPr>
        <w:t>használatával kapcsolatos utasítás</w:t>
      </w:r>
      <w:r w:rsidRPr="0028364C">
        <w:rPr>
          <w:rFonts w:ascii="Times New Roman" w:hAnsi="Times New Roman" w:cs="Times New Roman"/>
          <w:sz w:val="24"/>
          <w:szCs w:val="24"/>
        </w:rPr>
        <w:t xml:space="preserve"> (</w:t>
      </w:r>
      <w:r w:rsidR="00D5650C">
        <w:rPr>
          <w:rFonts w:ascii="Times New Roman" w:hAnsi="Times New Roman" w:cs="Times New Roman"/>
          <w:bCs/>
          <w:szCs w:val="24"/>
        </w:rPr>
        <w:t>86/2019/ÜV)</w:t>
      </w:r>
      <w:r w:rsidRPr="002836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A10C4" w14:textId="2819A23B" w:rsidR="00340CF6" w:rsidRPr="0028364C" w:rsidRDefault="00340CF6" w:rsidP="00340C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Duna Takarék Bank Zrt. mobil előfizetések és készülékek használatáról szóló </w:t>
      </w:r>
      <w:r w:rsidR="007A2F76">
        <w:rPr>
          <w:rFonts w:ascii="Times New Roman" w:hAnsi="Times New Roman" w:cs="Times New Roman"/>
          <w:sz w:val="24"/>
          <w:szCs w:val="24"/>
        </w:rPr>
        <w:t>eljárási rend (</w:t>
      </w:r>
      <w:r w:rsidR="007A2F76">
        <w:rPr>
          <w:rFonts w:ascii="Times New Roman" w:hAnsi="Times New Roman"/>
          <w:bCs/>
          <w:color w:val="000000"/>
          <w:szCs w:val="24"/>
        </w:rPr>
        <w:t>26/2020/ÜV)</w:t>
      </w:r>
    </w:p>
    <w:p w14:paraId="3922152E" w14:textId="050EAE8B" w:rsidR="003677DC" w:rsidRPr="0028364C" w:rsidRDefault="003616DB" w:rsidP="003677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Duna Takarék Bank Zrt. </w:t>
      </w:r>
      <w:r w:rsidR="001A70B3" w:rsidRPr="0028364C">
        <w:rPr>
          <w:rFonts w:ascii="Times New Roman" w:hAnsi="Times New Roman" w:cs="Times New Roman"/>
          <w:sz w:val="24"/>
          <w:szCs w:val="24"/>
        </w:rPr>
        <w:t>Humánerőforrás gazdálkodásra vonatkozó szabályzata</w:t>
      </w:r>
      <w:r w:rsidR="002B48CD" w:rsidRPr="0028364C">
        <w:rPr>
          <w:rFonts w:ascii="Times New Roman" w:hAnsi="Times New Roman" w:cs="Times New Roman"/>
          <w:sz w:val="24"/>
          <w:szCs w:val="24"/>
        </w:rPr>
        <w:t xml:space="preserve"> (</w:t>
      </w:r>
      <w:r w:rsidR="007A2F76">
        <w:rPr>
          <w:rFonts w:hAnsi="Times New Roman" w:cs="Times New Roman"/>
          <w:bCs/>
          <w:sz w:val="23"/>
          <w:szCs w:val="23"/>
        </w:rPr>
        <w:t>48/2020/IG</w:t>
      </w:r>
      <w:r w:rsidR="002B48CD" w:rsidRPr="0028364C">
        <w:rPr>
          <w:rFonts w:ascii="Times New Roman" w:hAnsi="Times New Roman" w:cs="Times New Roman"/>
          <w:bCs/>
        </w:rPr>
        <w:t>)</w:t>
      </w:r>
    </w:p>
    <w:p w14:paraId="5C1468E9" w14:textId="6DAE0FAC" w:rsidR="009C21B2" w:rsidRPr="00915FEA" w:rsidRDefault="003515CA" w:rsidP="00915F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Duna Takarék Bank Zrt</w:t>
      </w:r>
      <w:r w:rsidR="00212B4E" w:rsidRPr="0028364C">
        <w:rPr>
          <w:rFonts w:ascii="Times New Roman" w:hAnsi="Times New Roman" w:cs="Times New Roman"/>
          <w:sz w:val="24"/>
          <w:szCs w:val="24"/>
        </w:rPr>
        <w:t>.</w:t>
      </w:r>
      <w:r w:rsidRPr="0028364C">
        <w:rPr>
          <w:rFonts w:ascii="Times New Roman" w:hAnsi="Times New Roman" w:cs="Times New Roman"/>
          <w:sz w:val="24"/>
          <w:szCs w:val="24"/>
        </w:rPr>
        <w:t xml:space="preserve"> saját munkavállalóinak nyúj</w:t>
      </w:r>
      <w:r w:rsidR="00212B4E" w:rsidRPr="0028364C">
        <w:rPr>
          <w:rFonts w:ascii="Times New Roman" w:hAnsi="Times New Roman" w:cs="Times New Roman"/>
          <w:sz w:val="24"/>
          <w:szCs w:val="24"/>
        </w:rPr>
        <w:t>t</w:t>
      </w:r>
      <w:r w:rsidRPr="0028364C">
        <w:rPr>
          <w:rFonts w:ascii="Times New Roman" w:hAnsi="Times New Roman" w:cs="Times New Roman"/>
          <w:sz w:val="24"/>
          <w:szCs w:val="24"/>
        </w:rPr>
        <w:t xml:space="preserve">ott kölcsönre, hitelre és vissza nem térítendő támogatásra vonatkozó </w:t>
      </w:r>
      <w:r w:rsidR="009429A2" w:rsidRPr="000933F4">
        <w:rPr>
          <w:rFonts w:ascii="Times New Roman" w:hAnsi="Times New Roman" w:cs="Times New Roman"/>
          <w:sz w:val="24"/>
          <w:szCs w:val="24"/>
        </w:rPr>
        <w:t>szabályzat</w:t>
      </w:r>
      <w:r w:rsidRPr="00C40FBF">
        <w:rPr>
          <w:rFonts w:ascii="Times New Roman" w:hAnsi="Times New Roman" w:cs="Times New Roman"/>
          <w:sz w:val="24"/>
          <w:szCs w:val="24"/>
        </w:rPr>
        <w:t xml:space="preserve"> (</w:t>
      </w:r>
      <w:r w:rsidR="009429A2" w:rsidRPr="000933F4">
        <w:rPr>
          <w:rFonts w:ascii="Times New Roman" w:hAnsi="Times New Roman" w:cs="Times New Roman"/>
          <w:sz w:val="24"/>
          <w:szCs w:val="24"/>
        </w:rPr>
        <w:t>62/2018</w:t>
      </w:r>
      <w:r w:rsidRPr="000933F4">
        <w:rPr>
          <w:rFonts w:ascii="Times New Roman" w:hAnsi="Times New Roman" w:cs="Times New Roman"/>
          <w:szCs w:val="24"/>
        </w:rPr>
        <w:t>/</w:t>
      </w:r>
      <w:r w:rsidR="009429A2" w:rsidRPr="000933F4">
        <w:rPr>
          <w:rFonts w:ascii="Times New Roman" w:hAnsi="Times New Roman" w:cs="Times New Roman"/>
          <w:szCs w:val="24"/>
        </w:rPr>
        <w:t>IG</w:t>
      </w:r>
      <w:r w:rsidRPr="000933F4">
        <w:rPr>
          <w:rFonts w:ascii="Times New Roman" w:hAnsi="Times New Roman" w:cs="Times New Roman"/>
          <w:szCs w:val="24"/>
        </w:rPr>
        <w:t>)</w:t>
      </w:r>
    </w:p>
    <w:p w14:paraId="078A2B8F" w14:textId="77777777" w:rsidR="00F16D74" w:rsidRDefault="00F16D74" w:rsidP="00F16D74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</w:p>
    <w:p w14:paraId="0EB07419" w14:textId="77777777" w:rsidR="00F20135" w:rsidRPr="0028364C" w:rsidRDefault="00F20135" w:rsidP="00F16D74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</w:p>
    <w:p w14:paraId="5AB5B7A8" w14:textId="77777777" w:rsidR="007871DF" w:rsidRPr="0028364C" w:rsidRDefault="007871DF" w:rsidP="009019E6">
      <w:pPr>
        <w:pStyle w:val="Listaszerbekezds"/>
        <w:numPr>
          <w:ilvl w:val="0"/>
          <w:numId w:val="1"/>
        </w:numPr>
        <w:ind w:left="426" w:hanging="426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_Toc75937744"/>
      <w:r w:rsidRPr="0028364C">
        <w:rPr>
          <w:rFonts w:ascii="Times New Roman" w:hAnsi="Times New Roman" w:cs="Times New Roman"/>
          <w:b/>
          <w:sz w:val="28"/>
          <w:szCs w:val="28"/>
        </w:rPr>
        <w:t>A szabályzat tárgya</w:t>
      </w:r>
      <w:bookmarkEnd w:id="3"/>
    </w:p>
    <w:p w14:paraId="08539668" w14:textId="77777777" w:rsidR="0019008A" w:rsidRPr="0028364C" w:rsidRDefault="0019008A" w:rsidP="0019008A">
      <w:pPr>
        <w:pStyle w:val="Listaszerbekezds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</w:p>
    <w:p w14:paraId="09BDB640" w14:textId="3071FC3A" w:rsidR="00630A6A" w:rsidRPr="0028364C" w:rsidRDefault="0019008A" w:rsidP="009019E6">
      <w:pPr>
        <w:pStyle w:val="Listaszerbekezds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Javadalmazási Politika a </w:t>
      </w:r>
      <w:r w:rsidR="003A6749">
        <w:rPr>
          <w:rFonts w:ascii="Times New Roman" w:hAnsi="Times New Roman" w:cs="Times New Roman"/>
          <w:sz w:val="24"/>
          <w:szCs w:val="24"/>
        </w:rPr>
        <w:t xml:space="preserve">Bank </w:t>
      </w:r>
      <w:r w:rsidR="00323A14" w:rsidRPr="0028364C">
        <w:rPr>
          <w:rFonts w:ascii="Times New Roman" w:hAnsi="Times New Roman" w:cs="Times New Roman"/>
          <w:sz w:val="24"/>
          <w:szCs w:val="24"/>
        </w:rPr>
        <w:t>vezető állású személyeinek</w:t>
      </w:r>
      <w:r w:rsidRPr="0028364C">
        <w:rPr>
          <w:rFonts w:ascii="Times New Roman" w:hAnsi="Times New Roman" w:cs="Times New Roman"/>
          <w:sz w:val="24"/>
          <w:szCs w:val="24"/>
        </w:rPr>
        <w:t xml:space="preserve"> és munkavállalóinak díjazására, tevékenységük értékelésére és ösztönzésére terjed ki.</w:t>
      </w:r>
    </w:p>
    <w:p w14:paraId="4E057E01" w14:textId="77777777" w:rsidR="00630A6A" w:rsidRPr="0028364C" w:rsidRDefault="00630A6A" w:rsidP="00630A6A">
      <w:pPr>
        <w:pStyle w:val="Listaszerbekezds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FD484" w14:textId="77777777" w:rsidR="007871DF" w:rsidRPr="0028364C" w:rsidRDefault="007871DF" w:rsidP="009019E6">
      <w:pPr>
        <w:pStyle w:val="Listaszerbekezds"/>
        <w:numPr>
          <w:ilvl w:val="0"/>
          <w:numId w:val="1"/>
        </w:numPr>
        <w:ind w:left="426" w:hanging="426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_Toc75937745"/>
      <w:r w:rsidRPr="0028364C">
        <w:rPr>
          <w:rFonts w:ascii="Times New Roman" w:hAnsi="Times New Roman" w:cs="Times New Roman"/>
          <w:b/>
          <w:sz w:val="28"/>
          <w:szCs w:val="28"/>
        </w:rPr>
        <w:t>A szabályzat hatálya</w:t>
      </w:r>
      <w:bookmarkEnd w:id="4"/>
    </w:p>
    <w:p w14:paraId="314891DD" w14:textId="77777777" w:rsidR="007871DF" w:rsidRPr="0028364C" w:rsidRDefault="00E77DE3" w:rsidP="009019E6">
      <w:pPr>
        <w:rPr>
          <w:rFonts w:ascii="Times New Roman" w:hAnsi="Times New Roman" w:cs="Times New Roman"/>
          <w:b/>
          <w:sz w:val="24"/>
          <w:szCs w:val="24"/>
        </w:rPr>
      </w:pPr>
      <w:r w:rsidRPr="0028364C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7871DF" w:rsidRPr="0028364C">
        <w:rPr>
          <w:rFonts w:ascii="Times New Roman" w:hAnsi="Times New Roman" w:cs="Times New Roman"/>
          <w:b/>
          <w:sz w:val="24"/>
          <w:szCs w:val="24"/>
        </w:rPr>
        <w:t>Alanyi hatály</w:t>
      </w:r>
    </w:p>
    <w:p w14:paraId="481090D2" w14:textId="77777777" w:rsidR="00E77DE3" w:rsidRPr="0028364C" w:rsidRDefault="00E77DE3" w:rsidP="009019E6">
      <w:pPr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Javadalmazási Politika alanyi hatálya a következő társaságokra terjed ki:</w:t>
      </w:r>
    </w:p>
    <w:p w14:paraId="3E909158" w14:textId="77777777" w:rsidR="00E77DE3" w:rsidRPr="0028364C" w:rsidRDefault="006A34CA" w:rsidP="006A34CA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Duna Takarék Bank Zrt.</w:t>
      </w:r>
    </w:p>
    <w:p w14:paraId="5B188E46" w14:textId="4CDE18AD" w:rsidR="006A34CA" w:rsidRPr="0028364C" w:rsidRDefault="006A34CA" w:rsidP="009019E6">
      <w:pPr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Javadalmazási Politika a</w:t>
      </w:r>
      <w:r w:rsidR="009A5352">
        <w:rPr>
          <w:rFonts w:ascii="Times New Roman" w:hAnsi="Times New Roman" w:cs="Times New Roman"/>
          <w:sz w:val="24"/>
          <w:szCs w:val="24"/>
        </w:rPr>
        <w:t xml:space="preserve"> Bank</w:t>
      </w:r>
      <w:r w:rsidRPr="0028364C">
        <w:rPr>
          <w:rFonts w:ascii="Times New Roman" w:hAnsi="Times New Roman" w:cs="Times New Roman"/>
          <w:sz w:val="24"/>
          <w:szCs w:val="24"/>
        </w:rPr>
        <w:t xml:space="preserve"> valamennyi munkavállalójára kiterjed!</w:t>
      </w:r>
    </w:p>
    <w:p w14:paraId="581700D3" w14:textId="57784421" w:rsidR="00745782" w:rsidRPr="0028364C" w:rsidRDefault="00745782" w:rsidP="009019E6">
      <w:pPr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131/2011.</w:t>
      </w:r>
      <w:r w:rsidR="006855D9">
        <w:rPr>
          <w:rFonts w:ascii="Times New Roman" w:hAnsi="Times New Roman" w:cs="Times New Roman"/>
          <w:sz w:val="24"/>
          <w:szCs w:val="24"/>
        </w:rPr>
        <w:t xml:space="preserve"> (VII.18.) </w:t>
      </w:r>
      <w:r w:rsidR="00A85586" w:rsidRPr="0028364C">
        <w:rPr>
          <w:rFonts w:ascii="Times New Roman" w:hAnsi="Times New Roman" w:cs="Times New Roman"/>
          <w:sz w:val="24"/>
          <w:szCs w:val="24"/>
        </w:rPr>
        <w:t xml:space="preserve"> sz. </w:t>
      </w:r>
      <w:r w:rsidRPr="0028364C">
        <w:rPr>
          <w:rFonts w:ascii="Times New Roman" w:hAnsi="Times New Roman" w:cs="Times New Roman"/>
          <w:sz w:val="24"/>
          <w:szCs w:val="24"/>
        </w:rPr>
        <w:t xml:space="preserve">Korm. rendelet alapján  </w:t>
      </w:r>
      <w:r w:rsidR="005A7EB1" w:rsidRPr="0028364C">
        <w:rPr>
          <w:rFonts w:ascii="Times New Roman" w:hAnsi="Times New Roman" w:cs="Times New Roman"/>
          <w:sz w:val="24"/>
          <w:szCs w:val="24"/>
        </w:rPr>
        <w:t>kerül alkalmazásra az arányosság elve</w:t>
      </w:r>
      <w:r w:rsidRPr="0028364C">
        <w:rPr>
          <w:rFonts w:ascii="Times New Roman" w:hAnsi="Times New Roman" w:cs="Times New Roman"/>
          <w:sz w:val="24"/>
          <w:szCs w:val="24"/>
        </w:rPr>
        <w:t xml:space="preserve">. Az arányosság megállapítása során az intézménynek legalább az </w:t>
      </w:r>
      <w:r w:rsidR="00CB188A" w:rsidRPr="0028364C">
        <w:rPr>
          <w:rFonts w:ascii="Times New Roman" w:hAnsi="Times New Roman" w:cs="Times New Roman"/>
          <w:sz w:val="24"/>
          <w:szCs w:val="24"/>
        </w:rPr>
        <w:t xml:space="preserve">MNB ajánlásban szereplő </w:t>
      </w:r>
      <w:r w:rsidRPr="0028364C">
        <w:rPr>
          <w:rFonts w:ascii="Times New Roman" w:hAnsi="Times New Roman" w:cs="Times New Roman"/>
          <w:sz w:val="24"/>
          <w:szCs w:val="24"/>
        </w:rPr>
        <w:t>kritériumo</w:t>
      </w:r>
      <w:r w:rsidR="00CB188A" w:rsidRPr="0028364C">
        <w:rPr>
          <w:rFonts w:ascii="Times New Roman" w:hAnsi="Times New Roman" w:cs="Times New Roman"/>
          <w:sz w:val="24"/>
          <w:szCs w:val="24"/>
        </w:rPr>
        <w:t>kat szükséges figyelembe vennie.</w:t>
      </w:r>
      <w:r w:rsidRPr="002836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77FFD" w14:textId="1363C69C" w:rsidR="00CB188A" w:rsidRPr="0028364C" w:rsidRDefault="00CB188A" w:rsidP="009019E6">
      <w:pPr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Az arányosság elvének figyelembevételét és az értékelési </w:t>
      </w:r>
      <w:r w:rsidR="005E1AC1" w:rsidRPr="0028364C">
        <w:rPr>
          <w:rFonts w:ascii="Times New Roman" w:hAnsi="Times New Roman" w:cs="Times New Roman"/>
          <w:sz w:val="24"/>
          <w:szCs w:val="24"/>
        </w:rPr>
        <w:t xml:space="preserve">elveket, módszertant és </w:t>
      </w:r>
      <w:r w:rsidRPr="0028364C">
        <w:rPr>
          <w:rFonts w:ascii="Times New Roman" w:hAnsi="Times New Roman" w:cs="Times New Roman"/>
          <w:sz w:val="24"/>
          <w:szCs w:val="24"/>
        </w:rPr>
        <w:t xml:space="preserve">szempontokat az </w:t>
      </w:r>
      <w:r w:rsidRPr="0028364C">
        <w:rPr>
          <w:rFonts w:ascii="Times New Roman" w:hAnsi="Times New Roman" w:cs="Times New Roman"/>
          <w:b/>
          <w:sz w:val="24"/>
          <w:szCs w:val="24"/>
        </w:rPr>
        <w:t>1. sz. melléklet</w:t>
      </w:r>
      <w:r w:rsidRPr="0028364C">
        <w:rPr>
          <w:rFonts w:ascii="Times New Roman" w:hAnsi="Times New Roman" w:cs="Times New Roman"/>
          <w:sz w:val="24"/>
          <w:szCs w:val="24"/>
        </w:rPr>
        <w:t xml:space="preserve"> tartalmazza.</w:t>
      </w:r>
    </w:p>
    <w:p w14:paraId="3A45BE83" w14:textId="7E302BAC" w:rsidR="00E26E1E" w:rsidRPr="0028364C" w:rsidRDefault="00674813" w:rsidP="00901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Figyelembe véve a fenti szempontokat</w:t>
      </w:r>
      <w:r w:rsidR="00E26E1E" w:rsidRPr="0028364C">
        <w:rPr>
          <w:rFonts w:ascii="Times New Roman" w:hAnsi="Times New Roman" w:cs="Times New Roman"/>
          <w:sz w:val="24"/>
          <w:szCs w:val="24"/>
        </w:rPr>
        <w:t xml:space="preserve"> – kiemelten (1) a Duna Takarék Bank Zrt. mérlegfőösszegét, (2) szervezeti sajátosságát és földrajzi lefedettségét, (3) tevékenységének jellegét és összetettségét –</w:t>
      </w:r>
      <w:r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A85586" w:rsidRPr="0028364C">
        <w:rPr>
          <w:rFonts w:ascii="Times New Roman" w:hAnsi="Times New Roman" w:cs="Times New Roman"/>
          <w:sz w:val="24"/>
          <w:szCs w:val="24"/>
        </w:rPr>
        <w:t>a 131/2011.</w:t>
      </w:r>
      <w:r w:rsidR="006855D9">
        <w:rPr>
          <w:rFonts w:ascii="Times New Roman" w:hAnsi="Times New Roman" w:cs="Times New Roman"/>
          <w:sz w:val="24"/>
          <w:szCs w:val="24"/>
        </w:rPr>
        <w:t xml:space="preserve"> (VII.18.) sz.</w:t>
      </w:r>
      <w:r w:rsidR="00A85586" w:rsidRPr="0028364C">
        <w:rPr>
          <w:rFonts w:ascii="Times New Roman" w:hAnsi="Times New Roman" w:cs="Times New Roman"/>
          <w:sz w:val="24"/>
          <w:szCs w:val="24"/>
        </w:rPr>
        <w:t xml:space="preserve"> Korm. rendelet 3.  §-ában foglaltakra figyelemmel </w:t>
      </w:r>
      <w:r w:rsidR="00E26E1E" w:rsidRPr="0028364C">
        <w:rPr>
          <w:rFonts w:ascii="Times New Roman" w:hAnsi="Times New Roman" w:cs="Times New Roman"/>
          <w:sz w:val="24"/>
          <w:szCs w:val="24"/>
        </w:rPr>
        <w:t>alkalmazásra került az arányosság elve</w:t>
      </w:r>
      <w:r w:rsidRPr="0028364C">
        <w:rPr>
          <w:rFonts w:ascii="Times New Roman" w:hAnsi="Times New Roman" w:cs="Times New Roman"/>
          <w:sz w:val="24"/>
          <w:szCs w:val="24"/>
        </w:rPr>
        <w:t xml:space="preserve">, </w:t>
      </w:r>
      <w:r w:rsidR="00E26E1E" w:rsidRPr="0028364C">
        <w:rPr>
          <w:rFonts w:ascii="Times New Roman" w:hAnsi="Times New Roman" w:cs="Times New Roman"/>
          <w:sz w:val="24"/>
          <w:szCs w:val="24"/>
        </w:rPr>
        <w:t xml:space="preserve">azaz </w:t>
      </w:r>
      <w:r w:rsidR="00E07B3D">
        <w:rPr>
          <w:rFonts w:ascii="Times New Roman" w:hAnsi="Times New Roman" w:cs="Times New Roman"/>
          <w:sz w:val="24"/>
          <w:szCs w:val="24"/>
        </w:rPr>
        <w:t>a Bank</w:t>
      </w:r>
      <w:r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E26E1E" w:rsidRPr="0028364C">
        <w:rPr>
          <w:rFonts w:ascii="Times New Roman" w:hAnsi="Times New Roman" w:cs="Times New Roman"/>
          <w:sz w:val="24"/>
          <w:szCs w:val="24"/>
        </w:rPr>
        <w:t>:</w:t>
      </w:r>
    </w:p>
    <w:p w14:paraId="20AA8ADF" w14:textId="66D9428B" w:rsidR="00E26E1E" w:rsidRPr="0028364C" w:rsidRDefault="004F38B4" w:rsidP="004F38B4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azonosított munkavállalói részére, </w:t>
      </w:r>
      <w:r w:rsidR="00EA19F9" w:rsidRPr="0028364C">
        <w:rPr>
          <w:rFonts w:ascii="Times New Roman" w:hAnsi="Times New Roman" w:cs="Times New Roman"/>
          <w:sz w:val="24"/>
          <w:szCs w:val="24"/>
        </w:rPr>
        <w:t xml:space="preserve">a havi alapbér kétszeresét meg nem haladó javadalmazás esetén </w:t>
      </w:r>
      <w:r w:rsidR="00674813" w:rsidRPr="0028364C">
        <w:rPr>
          <w:rFonts w:ascii="Times New Roman" w:hAnsi="Times New Roman" w:cs="Times New Roman"/>
          <w:sz w:val="24"/>
          <w:szCs w:val="24"/>
        </w:rPr>
        <w:t>nem történik halasztott kifizetés</w:t>
      </w:r>
      <w:r w:rsidR="00D52032" w:rsidRPr="0028364C">
        <w:rPr>
          <w:rFonts w:ascii="Times New Roman" w:hAnsi="Times New Roman" w:cs="Times New Roman"/>
          <w:sz w:val="24"/>
          <w:szCs w:val="24"/>
        </w:rPr>
        <w:t>,</w:t>
      </w:r>
    </w:p>
    <w:p w14:paraId="499E5A56" w14:textId="77777777" w:rsidR="00E26E1E" w:rsidRPr="0028364C" w:rsidRDefault="00E26E1E" w:rsidP="00E26E1E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nem kerül sor </w:t>
      </w:r>
      <w:r w:rsidR="0042482F" w:rsidRPr="0028364C">
        <w:rPr>
          <w:rFonts w:ascii="Times New Roman" w:hAnsi="Times New Roman" w:cs="Times New Roman"/>
          <w:sz w:val="24"/>
          <w:szCs w:val="24"/>
        </w:rPr>
        <w:t>fanto</w:t>
      </w:r>
      <w:r w:rsidRPr="0028364C">
        <w:rPr>
          <w:rFonts w:ascii="Times New Roman" w:hAnsi="Times New Roman" w:cs="Times New Roman"/>
          <w:sz w:val="24"/>
          <w:szCs w:val="24"/>
        </w:rPr>
        <w:t>mjegy/fantomrészvény alkalmazására</w:t>
      </w:r>
      <w:r w:rsidR="0042482F" w:rsidRPr="0028364C">
        <w:rPr>
          <w:rFonts w:ascii="Times New Roman" w:hAnsi="Times New Roman" w:cs="Times New Roman"/>
          <w:sz w:val="24"/>
          <w:szCs w:val="24"/>
        </w:rPr>
        <w:t>.</w:t>
      </w:r>
      <w:r w:rsidR="00674813" w:rsidRPr="002836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C8077" w14:textId="37DAC76E" w:rsidR="00E77DE3" w:rsidRPr="0028364C" w:rsidRDefault="00266370" w:rsidP="00C7707F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</w:t>
      </w:r>
      <w:r w:rsidR="00E33CCC" w:rsidRPr="0028364C">
        <w:rPr>
          <w:rFonts w:ascii="Times New Roman" w:hAnsi="Times New Roman" w:cs="Times New Roman"/>
          <w:sz w:val="24"/>
          <w:szCs w:val="24"/>
        </w:rPr>
        <w:t>z azonosított</w:t>
      </w:r>
      <w:r w:rsidR="0042482F" w:rsidRPr="0028364C">
        <w:rPr>
          <w:rFonts w:ascii="Times New Roman" w:hAnsi="Times New Roman" w:cs="Times New Roman"/>
          <w:sz w:val="24"/>
          <w:szCs w:val="24"/>
        </w:rPr>
        <w:t xml:space="preserve"> személyek </w:t>
      </w:r>
      <w:r w:rsidR="00D2223A" w:rsidRPr="0028364C">
        <w:rPr>
          <w:rFonts w:ascii="Times New Roman" w:hAnsi="Times New Roman" w:cs="Times New Roman"/>
          <w:sz w:val="24"/>
          <w:szCs w:val="24"/>
        </w:rPr>
        <w:t>be</w:t>
      </w:r>
      <w:r w:rsidR="0042482F" w:rsidRPr="0028364C">
        <w:rPr>
          <w:rFonts w:ascii="Times New Roman" w:hAnsi="Times New Roman" w:cs="Times New Roman"/>
          <w:sz w:val="24"/>
          <w:szCs w:val="24"/>
        </w:rPr>
        <w:t>azonosítása</w:t>
      </w:r>
      <w:r w:rsidR="005A7EB1" w:rsidRPr="0028364C">
        <w:rPr>
          <w:rFonts w:ascii="Times New Roman" w:hAnsi="Times New Roman" w:cs="Times New Roman"/>
          <w:sz w:val="24"/>
          <w:szCs w:val="24"/>
        </w:rPr>
        <w:t xml:space="preserve"> azonban</w:t>
      </w:r>
      <w:r w:rsidR="0042482F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E26E1E" w:rsidRPr="0028364C">
        <w:rPr>
          <w:rFonts w:ascii="Times New Roman" w:hAnsi="Times New Roman" w:cs="Times New Roman"/>
          <w:sz w:val="24"/>
          <w:szCs w:val="24"/>
        </w:rPr>
        <w:t>megtörténik.</w:t>
      </w:r>
    </w:p>
    <w:p w14:paraId="23D92C4D" w14:textId="77777777" w:rsidR="004713D9" w:rsidRPr="0028364C" w:rsidRDefault="004713D9" w:rsidP="00471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853BFF" w14:textId="03394D94" w:rsidR="0002573C" w:rsidRPr="0028364C" w:rsidRDefault="0002573C" w:rsidP="00471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D37">
        <w:rPr>
          <w:rFonts w:ascii="Times New Roman" w:hAnsi="Times New Roman" w:cs="Times New Roman"/>
          <w:sz w:val="24"/>
          <w:szCs w:val="24"/>
        </w:rPr>
        <w:t>A Bank az arányosság elvét addig alkalmazza, amíg mérlegfőösszege, ügyfél betét</w:t>
      </w:r>
      <w:r w:rsidR="00524078" w:rsidRPr="00F43D37">
        <w:rPr>
          <w:rFonts w:ascii="Times New Roman" w:hAnsi="Times New Roman" w:cs="Times New Roman"/>
          <w:sz w:val="24"/>
          <w:szCs w:val="24"/>
        </w:rPr>
        <w:t>-</w:t>
      </w:r>
      <w:r w:rsidRPr="00F43D37">
        <w:rPr>
          <w:rFonts w:ascii="Times New Roman" w:hAnsi="Times New Roman" w:cs="Times New Roman"/>
          <w:sz w:val="24"/>
          <w:szCs w:val="24"/>
        </w:rPr>
        <w:t xml:space="preserve"> és hitelállománya alapján mért piaci részese</w:t>
      </w:r>
      <w:r w:rsidR="00DC7BF5" w:rsidRPr="00F43D37">
        <w:rPr>
          <w:rFonts w:ascii="Times New Roman" w:hAnsi="Times New Roman" w:cs="Times New Roman"/>
          <w:sz w:val="24"/>
          <w:szCs w:val="24"/>
        </w:rPr>
        <w:t>dése nem haladja meg a 3</w:t>
      </w:r>
      <w:r w:rsidR="00524078" w:rsidRPr="00F43D37">
        <w:rPr>
          <w:rFonts w:ascii="Times New Roman" w:hAnsi="Times New Roman" w:cs="Times New Roman"/>
          <w:sz w:val="24"/>
          <w:szCs w:val="24"/>
        </w:rPr>
        <w:t>%-ot valamint</w:t>
      </w:r>
      <w:r w:rsidRPr="00F43D37">
        <w:rPr>
          <w:rFonts w:ascii="Times New Roman" w:hAnsi="Times New Roman" w:cs="Times New Roman"/>
          <w:sz w:val="24"/>
          <w:szCs w:val="24"/>
        </w:rPr>
        <w:t xml:space="preserve"> </w:t>
      </w:r>
      <w:r w:rsidR="00F43D37" w:rsidRPr="00F12AB4">
        <w:rPr>
          <w:rFonts w:ascii="Times New Roman" w:hAnsi="Times New Roman" w:cs="Times New Roman"/>
          <w:sz w:val="24"/>
          <w:szCs w:val="24"/>
        </w:rPr>
        <w:t xml:space="preserve">a Bank tőkemegfelelési mutatójának értéke az elvárt OCR mutató felett van legalább </w:t>
      </w:r>
      <w:r w:rsidR="00F43D37">
        <w:rPr>
          <w:rFonts w:ascii="Times New Roman" w:hAnsi="Times New Roman" w:cs="Times New Roman"/>
          <w:sz w:val="24"/>
          <w:szCs w:val="24"/>
        </w:rPr>
        <w:t xml:space="preserve">a </w:t>
      </w:r>
      <w:r w:rsidR="00F43D37" w:rsidRPr="00F12AB4">
        <w:rPr>
          <w:rFonts w:ascii="Times New Roman" w:hAnsi="Times New Roman" w:cs="Times New Roman"/>
          <w:sz w:val="24"/>
          <w:szCs w:val="24"/>
        </w:rPr>
        <w:t xml:space="preserve"> 0,5%-kal</w:t>
      </w:r>
      <w:r w:rsidRPr="00F43D37">
        <w:rPr>
          <w:rFonts w:ascii="Times New Roman" w:hAnsi="Times New Roman" w:cs="Times New Roman"/>
          <w:sz w:val="24"/>
          <w:szCs w:val="24"/>
        </w:rPr>
        <w:t>. A fenti feltételeknek való megfelelést a Felügyelő Bizottság a javadalmazással kapcsolatos döntéseket meghozó – az évi rendes közgyűlést megelőző – ülésén, a Bank aktuális auditált adataira alapozva vizsgálja meg. Amennyiben a Bank a Felügyelő Bizottság</w:t>
      </w:r>
      <w:r w:rsidR="00524078" w:rsidRPr="00CB1DD0">
        <w:rPr>
          <w:rFonts w:ascii="Times New Roman" w:hAnsi="Times New Roman" w:cs="Times New Roman"/>
          <w:sz w:val="24"/>
          <w:szCs w:val="24"/>
        </w:rPr>
        <w:t>a</w:t>
      </w:r>
      <w:r w:rsidRPr="004D56D6">
        <w:rPr>
          <w:rFonts w:ascii="Times New Roman" w:hAnsi="Times New Roman" w:cs="Times New Roman"/>
          <w:sz w:val="24"/>
          <w:szCs w:val="24"/>
        </w:rPr>
        <w:t xml:space="preserve"> döntése alapjá</w:t>
      </w:r>
      <w:r w:rsidR="00524078" w:rsidRPr="004D56D6">
        <w:rPr>
          <w:rFonts w:ascii="Times New Roman" w:hAnsi="Times New Roman" w:cs="Times New Roman"/>
          <w:sz w:val="24"/>
          <w:szCs w:val="24"/>
        </w:rPr>
        <w:t xml:space="preserve">n megfelel az arányossági feltételeknek, úgy az arányosság elve a következő rendes (vagy mérleg elfogadó) közgyűlésig alkalmazható marad. </w:t>
      </w:r>
      <w:r w:rsidR="00F43D37" w:rsidRPr="000F4B51">
        <w:rPr>
          <w:rFonts w:ascii="Times New Roman" w:hAnsi="Times New Roman" w:cs="Times New Roman"/>
          <w:sz w:val="24"/>
          <w:szCs w:val="24"/>
        </w:rPr>
        <w:t>Ha tőkemegfelelési mutató elvárt OCR mutatóhoz viszonyítva nem éri el a korábban megjelölt minimális többlet célszintet, akkor</w:t>
      </w:r>
      <w:r w:rsidR="00F43D37" w:rsidRPr="00F43D37">
        <w:rPr>
          <w:rFonts w:ascii="Times New Roman" w:hAnsi="Times New Roman" w:cs="Times New Roman"/>
          <w:sz w:val="24"/>
          <w:szCs w:val="24"/>
        </w:rPr>
        <w:t xml:space="preserve"> azonnali hatállyal megszünteti az arányosság elvének használatát.</w:t>
      </w:r>
      <w:r w:rsidR="00F43D37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E756A2" w:rsidRPr="00F43D37">
        <w:rPr>
          <w:rFonts w:ascii="Times New Roman" w:hAnsi="Times New Roman" w:cs="Times New Roman"/>
          <w:sz w:val="24"/>
          <w:szCs w:val="24"/>
        </w:rPr>
        <w:t xml:space="preserve">Az arányosság elve alkalmazhatóságának feltételeit a Bank folyamatosan nyomon követi. </w:t>
      </w:r>
      <w:r w:rsidR="00F43D37" w:rsidRPr="00CB1DD0">
        <w:rPr>
          <w:rFonts w:ascii="Times New Roman" w:hAnsi="Times New Roman" w:cs="Times New Roman"/>
          <w:sz w:val="24"/>
          <w:szCs w:val="24"/>
        </w:rPr>
        <w:t>A feltételek teljesülése az év végi előzetes</w:t>
      </w:r>
      <w:r w:rsidR="00F43D37" w:rsidRPr="00F43D37">
        <w:rPr>
          <w:rFonts w:ascii="Times New Roman" w:hAnsi="Times New Roman" w:cs="Times New Roman"/>
          <w:sz w:val="24"/>
          <w:szCs w:val="24"/>
        </w:rPr>
        <w:t xml:space="preserve"> </w:t>
      </w:r>
      <w:r w:rsidR="00F43D37" w:rsidRPr="000F4B51">
        <w:rPr>
          <w:rFonts w:ascii="Times New Roman" w:hAnsi="Times New Roman"/>
          <w:sz w:val="24"/>
          <w:szCs w:val="24"/>
        </w:rPr>
        <w:t xml:space="preserve">(az MNB-be előzetes adatszolgáltatásként beküldött eredményszám 50%-ával (ha pozitív az eredmény) ill. veszteség esetén a teljes összeggel kalkulált) </w:t>
      </w:r>
      <w:r w:rsidR="00F43D37" w:rsidRPr="00F43D37">
        <w:rPr>
          <w:rFonts w:ascii="Times New Roman" w:hAnsi="Times New Roman" w:cs="Times New Roman"/>
          <w:sz w:val="24"/>
          <w:szCs w:val="24"/>
        </w:rPr>
        <w:t xml:space="preserve">számok alapján számolt </w:t>
      </w:r>
      <w:r w:rsidR="00F43D37" w:rsidRPr="000F4B51">
        <w:rPr>
          <w:rFonts w:ascii="Times New Roman" w:hAnsi="Times New Roman" w:cs="Times New Roman"/>
          <w:sz w:val="24"/>
          <w:szCs w:val="24"/>
        </w:rPr>
        <w:t>tőkemegfelelési</w:t>
      </w:r>
      <w:r w:rsidR="00F43D37">
        <w:rPr>
          <w:rFonts w:ascii="Times New Roman" w:hAnsi="Times New Roman" w:cs="Times New Roman"/>
          <w:sz w:val="24"/>
          <w:szCs w:val="24"/>
        </w:rPr>
        <w:t xml:space="preserve"> mutató mértéke alapján kerül meghatározásra.</w:t>
      </w:r>
      <w:r w:rsidR="00724739" w:rsidRPr="00CB1DD0">
        <w:rPr>
          <w:rFonts w:ascii="Times New Roman" w:hAnsi="Times New Roman" w:cs="Times New Roman"/>
          <w:sz w:val="24"/>
          <w:szCs w:val="24"/>
        </w:rPr>
        <w:t>.</w:t>
      </w:r>
      <w:r w:rsidR="00E756A2" w:rsidRPr="002836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B7E0D" w14:textId="77777777" w:rsidR="0002573C" w:rsidRPr="0028364C" w:rsidRDefault="0002573C" w:rsidP="00471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FF9F73" w14:textId="207E3A58" w:rsidR="004713D9" w:rsidRPr="0028364C" w:rsidRDefault="004713D9" w:rsidP="00471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Az arányosság elve csak azon </w:t>
      </w:r>
      <w:r w:rsidR="005E1AC1" w:rsidRPr="0028364C">
        <w:rPr>
          <w:rFonts w:ascii="Times New Roman" w:hAnsi="Times New Roman" w:cs="Times New Roman"/>
          <w:sz w:val="24"/>
          <w:szCs w:val="24"/>
        </w:rPr>
        <w:t xml:space="preserve">azonosított </w:t>
      </w:r>
      <w:r w:rsidRPr="0028364C">
        <w:rPr>
          <w:rFonts w:ascii="Times New Roman" w:hAnsi="Times New Roman" w:cs="Times New Roman"/>
          <w:sz w:val="24"/>
          <w:szCs w:val="24"/>
        </w:rPr>
        <w:t>munkavállalók esetén alkalmazható, akik teljesítményjavadalmazása – évenként -</w:t>
      </w:r>
      <w:r w:rsidR="006137FF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Pr="0028364C">
        <w:rPr>
          <w:rFonts w:ascii="Times New Roman" w:hAnsi="Times New Roman" w:cs="Times New Roman"/>
          <w:sz w:val="24"/>
          <w:szCs w:val="24"/>
        </w:rPr>
        <w:t>nem haladja meg a 2 havi személyi alapbért.</w:t>
      </w:r>
    </w:p>
    <w:p w14:paraId="6C94D9BD" w14:textId="77777777" w:rsidR="004713D9" w:rsidRPr="0028364C" w:rsidRDefault="004713D9" w:rsidP="004713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721522" w14:textId="495A1D02" w:rsidR="00BA2A5E" w:rsidRPr="0028364C" w:rsidRDefault="00C7707F" w:rsidP="009019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Javadalm</w:t>
      </w:r>
      <w:r w:rsidR="00323A14" w:rsidRPr="0028364C">
        <w:rPr>
          <w:rFonts w:ascii="Times New Roman" w:hAnsi="Times New Roman" w:cs="Times New Roman"/>
          <w:sz w:val="24"/>
          <w:szCs w:val="24"/>
        </w:rPr>
        <w:t xml:space="preserve">azási Politika </w:t>
      </w:r>
      <w:r w:rsidR="007B5FAA">
        <w:rPr>
          <w:rFonts w:ascii="Times New Roman" w:hAnsi="Times New Roman" w:cs="Times New Roman"/>
          <w:sz w:val="24"/>
          <w:szCs w:val="24"/>
        </w:rPr>
        <w:t>a Bank</w:t>
      </w:r>
      <w:r w:rsidRPr="0028364C">
        <w:rPr>
          <w:rFonts w:ascii="Times New Roman" w:hAnsi="Times New Roman" w:cs="Times New Roman"/>
          <w:sz w:val="24"/>
          <w:szCs w:val="24"/>
        </w:rPr>
        <w:t xml:space="preserve"> minden</w:t>
      </w:r>
      <w:r w:rsidR="00323A14" w:rsidRPr="0028364C">
        <w:rPr>
          <w:rFonts w:ascii="Times New Roman" w:hAnsi="Times New Roman" w:cs="Times New Roman"/>
          <w:sz w:val="24"/>
          <w:szCs w:val="24"/>
        </w:rPr>
        <w:t xml:space="preserve"> vezető állású személyére</w:t>
      </w:r>
      <w:r w:rsidRPr="0028364C">
        <w:rPr>
          <w:rFonts w:ascii="Times New Roman" w:hAnsi="Times New Roman" w:cs="Times New Roman"/>
          <w:sz w:val="24"/>
          <w:szCs w:val="24"/>
        </w:rPr>
        <w:t xml:space="preserve"> és munkaviszonyban álló munkavállalójára kiterjed, az általános szabályokon túl a Hpt. 117. § (2) </w:t>
      </w:r>
      <w:r w:rsidR="00D24C9E">
        <w:rPr>
          <w:rFonts w:ascii="Times New Roman" w:hAnsi="Times New Roman" w:cs="Times New Roman"/>
          <w:sz w:val="24"/>
          <w:szCs w:val="24"/>
        </w:rPr>
        <w:t xml:space="preserve">és (2a) </w:t>
      </w:r>
      <w:r w:rsidRPr="0028364C">
        <w:rPr>
          <w:rFonts w:ascii="Times New Roman" w:hAnsi="Times New Roman" w:cs="Times New Roman"/>
          <w:sz w:val="24"/>
          <w:szCs w:val="24"/>
        </w:rPr>
        <w:t xml:space="preserve">bekezdés, a Bszt. 4. sz. melléklet jogszabályhelyeken meghatározott </w:t>
      </w:r>
      <w:r w:rsidR="00E33CCC" w:rsidRPr="0028364C">
        <w:rPr>
          <w:rFonts w:ascii="Times New Roman" w:hAnsi="Times New Roman" w:cs="Times New Roman"/>
          <w:sz w:val="24"/>
          <w:szCs w:val="24"/>
        </w:rPr>
        <w:t>azonosított</w:t>
      </w:r>
      <w:r w:rsidRPr="0028364C">
        <w:rPr>
          <w:rFonts w:ascii="Times New Roman" w:hAnsi="Times New Roman" w:cs="Times New Roman"/>
          <w:sz w:val="24"/>
          <w:szCs w:val="24"/>
        </w:rPr>
        <w:t xml:space="preserve"> személyi körre vonatkozó speciális szabályokat is meghatároz.</w:t>
      </w:r>
    </w:p>
    <w:p w14:paraId="24A17B5E" w14:textId="77777777" w:rsidR="009019E6" w:rsidRPr="0028364C" w:rsidRDefault="009019E6" w:rsidP="009019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</w:t>
      </w:r>
      <w:r w:rsidR="00323A14" w:rsidRPr="0028364C">
        <w:rPr>
          <w:rFonts w:ascii="Times New Roman" w:hAnsi="Times New Roman" w:cs="Times New Roman"/>
          <w:sz w:val="24"/>
          <w:szCs w:val="24"/>
        </w:rPr>
        <w:t xml:space="preserve">kockázatvállalásra jelentős hatást gyakorló vezető állású személyek és munkavállalók körébe azok tartoznak, akik teljesítik a 604/2014/EU rendelet 3. cikkében rögzített minőségi, vagy e rendelet 4. cikkében rögzített mennyiségi kritériumok bármelyikét. </w:t>
      </w:r>
    </w:p>
    <w:p w14:paraId="62067999" w14:textId="77777777" w:rsidR="00C04949" w:rsidRPr="0028364C" w:rsidRDefault="00BA2A5E" w:rsidP="00901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Bank a kockázatvállalásra lényeges hatást gyakorló személyek</w:t>
      </w:r>
      <w:r w:rsidR="00C04949" w:rsidRPr="0028364C">
        <w:rPr>
          <w:rFonts w:ascii="Times New Roman" w:hAnsi="Times New Roman" w:cs="Times New Roman"/>
          <w:sz w:val="24"/>
          <w:szCs w:val="24"/>
        </w:rPr>
        <w:t xml:space="preserve"> körének</w:t>
      </w:r>
      <w:r w:rsidRPr="0028364C">
        <w:rPr>
          <w:rFonts w:ascii="Times New Roman" w:hAnsi="Times New Roman" w:cs="Times New Roman"/>
          <w:sz w:val="24"/>
          <w:szCs w:val="24"/>
        </w:rPr>
        <w:t xml:space="preserve"> meghatározása</w:t>
      </w:r>
      <w:r w:rsidR="00C04949" w:rsidRPr="0028364C">
        <w:rPr>
          <w:rFonts w:ascii="Times New Roman" w:hAnsi="Times New Roman" w:cs="Times New Roman"/>
          <w:sz w:val="24"/>
          <w:szCs w:val="24"/>
        </w:rPr>
        <w:t>kor az alábbi feltételeket vizsgálja:</w:t>
      </w:r>
    </w:p>
    <w:p w14:paraId="2D73C21E" w14:textId="77777777" w:rsidR="00C7707F" w:rsidRPr="0028364C" w:rsidRDefault="00C04949" w:rsidP="00C04949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mely munkavállalók kerülnek beazonosításra a 604/2014/EU rendelet alapján,</w:t>
      </w:r>
    </w:p>
    <w:p w14:paraId="4CEAC314" w14:textId="77777777" w:rsidR="00C04949" w:rsidRPr="0028364C" w:rsidRDefault="00C04949" w:rsidP="00C04949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mely munkavállalók gyakorolnak lényeges hatást az intézmény eredményére és mérlegfőösszegére,</w:t>
      </w:r>
    </w:p>
    <w:p w14:paraId="6BF61949" w14:textId="77777777" w:rsidR="006855D9" w:rsidRPr="0028364C" w:rsidRDefault="006855D9" w:rsidP="006855D9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 előző pénzügyi évben</w:t>
      </w:r>
      <w:r w:rsidRPr="0028364C">
        <w:rPr>
          <w:rFonts w:ascii="Times New Roman" w:hAnsi="Times New Roman" w:cs="Times New Roman"/>
          <w:sz w:val="24"/>
          <w:szCs w:val="24"/>
        </w:rPr>
        <w:t xml:space="preserve"> magas teljesítményjavadalmazásban</w:t>
      </w:r>
      <w:r>
        <w:rPr>
          <w:rFonts w:ascii="Times New Roman" w:hAnsi="Times New Roman" w:cs="Times New Roman"/>
          <w:sz w:val="24"/>
          <w:szCs w:val="24"/>
        </w:rPr>
        <w:t xml:space="preserve"> részesült munkavállaló javadalmazása </w:t>
      </w:r>
      <w:r w:rsidRPr="00A84D7F">
        <w:rPr>
          <w:rFonts w:ascii="Times New Roman" w:hAnsi="Times New Roman" w:cs="Times New Roman"/>
          <w:sz w:val="24"/>
          <w:szCs w:val="24"/>
        </w:rPr>
        <w:t>legalább százötvenmillió forint és legalább a vezető állású személyek részére juttatott átlagos javadalmazás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4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aki szakmai tevékenységét </w:t>
      </w:r>
      <w:r w:rsidRPr="00A84D7F">
        <w:rPr>
          <w:rFonts w:ascii="Times New Roman" w:hAnsi="Times New Roman" w:cs="Times New Roman"/>
          <w:sz w:val="24"/>
          <w:szCs w:val="24"/>
        </w:rPr>
        <w:t>valamelyik lényeges szervezeti egységben</w:t>
      </w:r>
      <w:r>
        <w:rPr>
          <w:rFonts w:ascii="Times New Roman" w:hAnsi="Times New Roman" w:cs="Times New Roman"/>
          <w:sz w:val="24"/>
          <w:szCs w:val="24"/>
        </w:rPr>
        <w:t xml:space="preserve"> végzi</w:t>
      </w:r>
      <w:r w:rsidRPr="00A84D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ahol</w:t>
      </w:r>
      <w:r w:rsidRPr="00A84D7F">
        <w:rPr>
          <w:rFonts w:ascii="Times New Roman" w:hAnsi="Times New Roman" w:cs="Times New Roman"/>
          <w:sz w:val="24"/>
          <w:szCs w:val="24"/>
        </w:rPr>
        <w:t xml:space="preserve"> a tevékenysége olyan jellegű, amely jelentős hatást gyakorol az érintett szervezeti egység kockázati profiljára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54AA95C" w14:textId="1F4AAF4A" w:rsidR="00C04949" w:rsidRPr="0028364C" w:rsidRDefault="00C04949" w:rsidP="00C04949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,</w:t>
      </w:r>
    </w:p>
    <w:p w14:paraId="7C50191E" w14:textId="77777777" w:rsidR="006735C6" w:rsidRDefault="00C04949" w:rsidP="008A2050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mely munkavállalók látnak </w:t>
      </w:r>
      <w:r w:rsidR="00D2223A" w:rsidRPr="0028364C">
        <w:rPr>
          <w:rFonts w:ascii="Times New Roman" w:hAnsi="Times New Roman" w:cs="Times New Roman"/>
          <w:sz w:val="24"/>
          <w:szCs w:val="24"/>
        </w:rPr>
        <w:t>el belső kontroll funkciót (</w:t>
      </w:r>
      <w:r w:rsidRPr="0028364C">
        <w:rPr>
          <w:rFonts w:ascii="Times New Roman" w:hAnsi="Times New Roman" w:cs="Times New Roman"/>
          <w:sz w:val="24"/>
          <w:szCs w:val="24"/>
        </w:rPr>
        <w:t>compliance, belső ellenőrzés, kockázatellenőrzés)</w:t>
      </w:r>
    </w:p>
    <w:p w14:paraId="2117A587" w14:textId="2335F0AE" w:rsidR="00D24C9E" w:rsidRPr="0028364C" w:rsidRDefault="00D24C9E" w:rsidP="008A2050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 munkavállalók a lényeges szervezeti egységekért vezetői felelősséggel tartozó munkavállalók</w:t>
      </w:r>
    </w:p>
    <w:p w14:paraId="27E086EA" w14:textId="41A277CF" w:rsidR="006735C6" w:rsidRPr="0028364C" w:rsidRDefault="006735C6" w:rsidP="009019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Az azonosított személyek azonosítását éves gyakorisággal el kell végezni, annak dokumentált eredményét az MNB 3/2017. (II.9.) sz. ajánlásában előírtak szerint 5 évig meg kell őrizni. A dokumentációt az MNB ajánlás</w:t>
      </w:r>
      <w:r w:rsidR="00715975" w:rsidRPr="0028364C">
        <w:rPr>
          <w:rFonts w:ascii="Times New Roman" w:hAnsi="Times New Roman" w:cs="Times New Roman"/>
          <w:sz w:val="24"/>
          <w:szCs w:val="24"/>
        </w:rPr>
        <w:t>ban szereplő szempontok</w:t>
      </w:r>
      <w:r w:rsidRPr="0028364C">
        <w:rPr>
          <w:rFonts w:ascii="Times New Roman" w:hAnsi="Times New Roman" w:cs="Times New Roman"/>
          <w:sz w:val="24"/>
          <w:szCs w:val="24"/>
        </w:rPr>
        <w:t xml:space="preserve"> szerint kell elkészíteni.</w:t>
      </w:r>
      <w:r w:rsidR="00E760BF" w:rsidRPr="0028364C">
        <w:rPr>
          <w:rFonts w:ascii="Times New Roman" w:hAnsi="Times New Roman" w:cs="Times New Roman"/>
          <w:sz w:val="24"/>
          <w:szCs w:val="24"/>
        </w:rPr>
        <w:t xml:space="preserve"> Az azonosítást a tárgyév első negyed évében kell elvégezni, továbbá személyi változás esetén a változáskor is el kell készíteni az azonosítást.</w:t>
      </w:r>
      <w:r w:rsidR="00E756A2" w:rsidRPr="0028364C">
        <w:rPr>
          <w:rFonts w:ascii="Times New Roman" w:hAnsi="Times New Roman" w:cs="Times New Roman"/>
          <w:sz w:val="24"/>
          <w:szCs w:val="24"/>
        </w:rPr>
        <w:t xml:space="preserve"> Az azonosított személyekről a javadalmazással kapcsolatos döntéseket meghozó – az évi rendes közgyűlést megelőző – ülésén dönt a Bank Felügyelő Bizottsága. A döntés a következő évi rendes közgyűlést megelőző Felügyelő Bizottsági ülésig marad </w:t>
      </w:r>
      <w:r w:rsidR="006855D9">
        <w:rPr>
          <w:rFonts w:ascii="Times New Roman" w:hAnsi="Times New Roman" w:cs="Times New Roman"/>
          <w:sz w:val="24"/>
          <w:szCs w:val="24"/>
        </w:rPr>
        <w:t>hatályban</w:t>
      </w:r>
      <w:r w:rsidR="00E756A2" w:rsidRPr="0028364C">
        <w:rPr>
          <w:rFonts w:ascii="Times New Roman" w:hAnsi="Times New Roman" w:cs="Times New Roman"/>
          <w:sz w:val="24"/>
          <w:szCs w:val="24"/>
        </w:rPr>
        <w:t>. Évközi személyi változás esetén a Felügyelő Bizottság soron kívül dönt az azonosítás kérdésében.</w:t>
      </w:r>
    </w:p>
    <w:p w14:paraId="6BA491F3" w14:textId="77777777" w:rsidR="008D6A8A" w:rsidRPr="0028364C" w:rsidRDefault="008D6A8A" w:rsidP="009019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</w:t>
      </w:r>
      <w:r w:rsidR="00925327" w:rsidRPr="0028364C">
        <w:rPr>
          <w:rFonts w:ascii="Times New Roman" w:hAnsi="Times New Roman" w:cs="Times New Roman"/>
          <w:sz w:val="24"/>
          <w:szCs w:val="24"/>
        </w:rPr>
        <w:t>bban az esetben</w:t>
      </w:r>
      <w:r w:rsidR="00212B4E" w:rsidRPr="0028364C">
        <w:rPr>
          <w:rFonts w:ascii="Times New Roman" w:hAnsi="Times New Roman" w:cs="Times New Roman"/>
          <w:sz w:val="24"/>
          <w:szCs w:val="24"/>
        </w:rPr>
        <w:t>,</w:t>
      </w:r>
      <w:r w:rsidR="00925327" w:rsidRPr="0028364C">
        <w:rPr>
          <w:rFonts w:ascii="Times New Roman" w:hAnsi="Times New Roman" w:cs="Times New Roman"/>
          <w:sz w:val="24"/>
          <w:szCs w:val="24"/>
        </w:rPr>
        <w:t xml:space="preserve"> ha a</w:t>
      </w:r>
      <w:r w:rsidR="00E33CCC" w:rsidRPr="0028364C">
        <w:rPr>
          <w:rFonts w:ascii="Times New Roman" w:hAnsi="Times New Roman" w:cs="Times New Roman"/>
          <w:sz w:val="24"/>
          <w:szCs w:val="24"/>
        </w:rPr>
        <w:t>z azonosított</w:t>
      </w:r>
      <w:r w:rsidRPr="0028364C">
        <w:rPr>
          <w:rFonts w:ascii="Times New Roman" w:hAnsi="Times New Roman" w:cs="Times New Roman"/>
          <w:sz w:val="24"/>
          <w:szCs w:val="24"/>
        </w:rPr>
        <w:t xml:space="preserve"> személy</w:t>
      </w:r>
      <w:r w:rsidR="00925327" w:rsidRPr="0028364C">
        <w:rPr>
          <w:rFonts w:ascii="Times New Roman" w:hAnsi="Times New Roman" w:cs="Times New Roman"/>
          <w:sz w:val="24"/>
          <w:szCs w:val="24"/>
        </w:rPr>
        <w:t>t</w:t>
      </w:r>
      <w:r w:rsidR="004A3CA6" w:rsidRPr="0028364C">
        <w:rPr>
          <w:rFonts w:ascii="Times New Roman" w:hAnsi="Times New Roman" w:cs="Times New Roman"/>
          <w:sz w:val="24"/>
          <w:szCs w:val="24"/>
        </w:rPr>
        <w:t xml:space="preserve"> három</w:t>
      </w:r>
      <w:r w:rsidRPr="0028364C">
        <w:rPr>
          <w:rFonts w:ascii="Times New Roman" w:hAnsi="Times New Roman" w:cs="Times New Roman"/>
          <w:sz w:val="24"/>
          <w:szCs w:val="24"/>
        </w:rPr>
        <w:t xml:space="preserve"> hónapot meghaladó</w:t>
      </w:r>
      <w:r w:rsidR="00925327" w:rsidRPr="0028364C">
        <w:rPr>
          <w:rFonts w:ascii="Times New Roman" w:hAnsi="Times New Roman" w:cs="Times New Roman"/>
          <w:sz w:val="24"/>
          <w:szCs w:val="24"/>
        </w:rPr>
        <w:t xml:space="preserve">an más munkavállaló helyettesíti, </w:t>
      </w:r>
      <w:r w:rsidRPr="0028364C">
        <w:rPr>
          <w:rFonts w:ascii="Times New Roman" w:hAnsi="Times New Roman" w:cs="Times New Roman"/>
          <w:sz w:val="24"/>
          <w:szCs w:val="24"/>
        </w:rPr>
        <w:t>vizsgálni kell, hogy a helyettesítő személy rendelkezik-e mindazzal a felhatalmazással, amellyel a</w:t>
      </w:r>
      <w:r w:rsidR="00E33CCC" w:rsidRPr="0028364C">
        <w:rPr>
          <w:rFonts w:ascii="Times New Roman" w:hAnsi="Times New Roman" w:cs="Times New Roman"/>
          <w:sz w:val="24"/>
          <w:szCs w:val="24"/>
        </w:rPr>
        <w:t xml:space="preserve">z azonosított </w:t>
      </w:r>
      <w:r w:rsidRPr="0028364C">
        <w:rPr>
          <w:rFonts w:ascii="Times New Roman" w:hAnsi="Times New Roman" w:cs="Times New Roman"/>
          <w:sz w:val="24"/>
          <w:szCs w:val="24"/>
        </w:rPr>
        <w:t>személy rendelkezett. Amennyiben igen,</w:t>
      </w:r>
      <w:r w:rsidR="004A3CA6" w:rsidRPr="0028364C">
        <w:rPr>
          <w:rFonts w:ascii="Times New Roman" w:hAnsi="Times New Roman" w:cs="Times New Roman"/>
          <w:sz w:val="24"/>
          <w:szCs w:val="24"/>
        </w:rPr>
        <w:t xml:space="preserve"> s a helyettesítést legalább három</w:t>
      </w:r>
      <w:r w:rsidR="00E33CCC" w:rsidRPr="0028364C">
        <w:rPr>
          <w:rFonts w:ascii="Times New Roman" w:hAnsi="Times New Roman" w:cs="Times New Roman"/>
          <w:sz w:val="24"/>
          <w:szCs w:val="24"/>
        </w:rPr>
        <w:t xml:space="preserve"> hónapig ellátta azonosított</w:t>
      </w:r>
      <w:r w:rsidRPr="0028364C">
        <w:rPr>
          <w:rFonts w:ascii="Times New Roman" w:hAnsi="Times New Roman" w:cs="Times New Roman"/>
          <w:sz w:val="24"/>
          <w:szCs w:val="24"/>
        </w:rPr>
        <w:t xml:space="preserve"> személlyé kell nyilvánítani. </w:t>
      </w:r>
    </w:p>
    <w:p w14:paraId="1593D4B2" w14:textId="5874601C" w:rsidR="00F91114" w:rsidRDefault="00E33CCC" w:rsidP="005A75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Az azonosított</w:t>
      </w:r>
      <w:r w:rsidR="000A13DD" w:rsidRPr="0028364C">
        <w:rPr>
          <w:rFonts w:ascii="Times New Roman" w:hAnsi="Times New Roman" w:cs="Times New Roman"/>
          <w:sz w:val="24"/>
          <w:szCs w:val="24"/>
        </w:rPr>
        <w:t xml:space="preserve"> személyek azonosítása során</w:t>
      </w:r>
      <w:r w:rsidR="008D6A8A" w:rsidRPr="0028364C">
        <w:rPr>
          <w:rFonts w:ascii="Times New Roman" w:hAnsi="Times New Roman" w:cs="Times New Roman"/>
          <w:sz w:val="24"/>
          <w:szCs w:val="24"/>
        </w:rPr>
        <w:t xml:space="preserve"> ké</w:t>
      </w:r>
      <w:r w:rsidR="000A13DD" w:rsidRPr="0028364C">
        <w:rPr>
          <w:rFonts w:ascii="Times New Roman" w:hAnsi="Times New Roman" w:cs="Times New Roman"/>
          <w:sz w:val="24"/>
          <w:szCs w:val="24"/>
        </w:rPr>
        <w:t xml:space="preserve">szített dokumentációs lapot az </w:t>
      </w:r>
      <w:r w:rsidR="000A13DD" w:rsidRPr="0028364C">
        <w:rPr>
          <w:rFonts w:ascii="Times New Roman" w:hAnsi="Times New Roman" w:cs="Times New Roman"/>
          <w:b/>
          <w:sz w:val="24"/>
          <w:szCs w:val="24"/>
        </w:rPr>
        <w:t>2</w:t>
      </w:r>
      <w:r w:rsidR="008D6A8A" w:rsidRPr="0028364C">
        <w:rPr>
          <w:rFonts w:ascii="Times New Roman" w:hAnsi="Times New Roman" w:cs="Times New Roman"/>
          <w:b/>
          <w:sz w:val="24"/>
          <w:szCs w:val="24"/>
        </w:rPr>
        <w:t>. sz. melléklet</w:t>
      </w:r>
      <w:r w:rsidR="008D6A8A" w:rsidRPr="0028364C">
        <w:rPr>
          <w:rFonts w:ascii="Times New Roman" w:hAnsi="Times New Roman" w:cs="Times New Roman"/>
          <w:sz w:val="24"/>
          <w:szCs w:val="24"/>
        </w:rPr>
        <w:t xml:space="preserve"> tartalmazza.</w:t>
      </w:r>
    </w:p>
    <w:p w14:paraId="7B4168B5" w14:textId="175ACF9B" w:rsidR="00BD253E" w:rsidRPr="0028364C" w:rsidRDefault="00BD253E" w:rsidP="005A75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javadalmazási politika nemek szempontjából semleges javadalmazási politika.</w:t>
      </w:r>
    </w:p>
    <w:p w14:paraId="635366FC" w14:textId="77777777" w:rsidR="007871DF" w:rsidRPr="0028364C" w:rsidRDefault="00323A14" w:rsidP="009019E6">
      <w:pPr>
        <w:rPr>
          <w:rFonts w:ascii="Times New Roman" w:hAnsi="Times New Roman" w:cs="Times New Roman"/>
          <w:b/>
          <w:sz w:val="24"/>
          <w:szCs w:val="24"/>
        </w:rPr>
      </w:pPr>
      <w:r w:rsidRPr="0028364C">
        <w:rPr>
          <w:rFonts w:ascii="Times New Roman" w:hAnsi="Times New Roman" w:cs="Times New Roman"/>
          <w:b/>
          <w:sz w:val="24"/>
          <w:szCs w:val="24"/>
        </w:rPr>
        <w:t>5.2</w:t>
      </w:r>
      <w:r w:rsidR="008D6A8A" w:rsidRPr="002836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71DF" w:rsidRPr="0028364C">
        <w:rPr>
          <w:rFonts w:ascii="Times New Roman" w:hAnsi="Times New Roman" w:cs="Times New Roman"/>
          <w:b/>
          <w:sz w:val="24"/>
          <w:szCs w:val="24"/>
        </w:rPr>
        <w:t>Időbeli hatály</w:t>
      </w:r>
    </w:p>
    <w:p w14:paraId="5CF889BD" w14:textId="30055AAD" w:rsidR="00B97E1E" w:rsidRPr="00AA5138" w:rsidRDefault="008D6A8A" w:rsidP="009019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Javadal</w:t>
      </w:r>
      <w:r w:rsidR="005A7EB1" w:rsidRPr="0028364C">
        <w:rPr>
          <w:rFonts w:ascii="Times New Roman" w:hAnsi="Times New Roman" w:cs="Times New Roman"/>
          <w:sz w:val="24"/>
          <w:szCs w:val="24"/>
        </w:rPr>
        <w:t xml:space="preserve">mazási Politika határozatlan időre szól, </w:t>
      </w:r>
      <w:r w:rsidRPr="0028364C">
        <w:rPr>
          <w:rFonts w:ascii="Times New Roman" w:hAnsi="Times New Roman" w:cs="Times New Roman"/>
          <w:sz w:val="24"/>
          <w:szCs w:val="24"/>
        </w:rPr>
        <w:t xml:space="preserve">szabályai évente </w:t>
      </w:r>
      <w:r w:rsidR="005A7EB1" w:rsidRPr="0028364C">
        <w:rPr>
          <w:rFonts w:ascii="Times New Roman" w:hAnsi="Times New Roman" w:cs="Times New Roman"/>
          <w:sz w:val="24"/>
          <w:szCs w:val="24"/>
        </w:rPr>
        <w:t xml:space="preserve">kötelezően </w:t>
      </w:r>
      <w:r w:rsidRPr="0028364C">
        <w:rPr>
          <w:rFonts w:ascii="Times New Roman" w:hAnsi="Times New Roman" w:cs="Times New Roman"/>
          <w:sz w:val="24"/>
          <w:szCs w:val="24"/>
        </w:rPr>
        <w:t xml:space="preserve">felülvizsgálatra </w:t>
      </w:r>
      <w:r w:rsidRPr="00AA5138">
        <w:rPr>
          <w:rFonts w:ascii="Times New Roman" w:hAnsi="Times New Roman" w:cs="Times New Roman"/>
          <w:sz w:val="24"/>
          <w:szCs w:val="24"/>
        </w:rPr>
        <w:t xml:space="preserve">kerülnek. </w:t>
      </w:r>
    </w:p>
    <w:p w14:paraId="2C8C78FC" w14:textId="77777777" w:rsidR="007871DF" w:rsidRPr="00AA5138" w:rsidRDefault="00736643" w:rsidP="009019E6">
      <w:pPr>
        <w:pStyle w:val="Listaszerbekezds"/>
        <w:numPr>
          <w:ilvl w:val="0"/>
          <w:numId w:val="1"/>
        </w:numPr>
        <w:ind w:left="284" w:hanging="284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_Toc75937746"/>
      <w:r w:rsidRPr="00AA5138">
        <w:rPr>
          <w:rFonts w:ascii="Times New Roman" w:hAnsi="Times New Roman" w:cs="Times New Roman"/>
          <w:b/>
          <w:sz w:val="28"/>
          <w:szCs w:val="28"/>
        </w:rPr>
        <w:lastRenderedPageBreak/>
        <w:t>A javadal</w:t>
      </w:r>
      <w:r w:rsidR="00424D1A" w:rsidRPr="00AA5138">
        <w:rPr>
          <w:rFonts w:ascii="Times New Roman" w:hAnsi="Times New Roman" w:cs="Times New Roman"/>
          <w:b/>
          <w:sz w:val="28"/>
          <w:szCs w:val="28"/>
        </w:rPr>
        <w:t>m</w:t>
      </w:r>
      <w:r w:rsidRPr="00AA5138">
        <w:rPr>
          <w:rFonts w:ascii="Times New Roman" w:hAnsi="Times New Roman" w:cs="Times New Roman"/>
          <w:b/>
          <w:sz w:val="28"/>
          <w:szCs w:val="28"/>
        </w:rPr>
        <w:t>a</w:t>
      </w:r>
      <w:r w:rsidR="00424D1A" w:rsidRPr="00AA5138">
        <w:rPr>
          <w:rFonts w:ascii="Times New Roman" w:hAnsi="Times New Roman" w:cs="Times New Roman"/>
          <w:b/>
          <w:sz w:val="28"/>
          <w:szCs w:val="28"/>
        </w:rPr>
        <w:t>zás típusai</w:t>
      </w:r>
      <w:bookmarkEnd w:id="5"/>
    </w:p>
    <w:p w14:paraId="240A3803" w14:textId="77777777" w:rsidR="008D6A8A" w:rsidRPr="0028364C" w:rsidRDefault="008D6A8A" w:rsidP="008D6A8A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</w:p>
    <w:p w14:paraId="3713841C" w14:textId="4457C0BA" w:rsidR="00AD538B" w:rsidRPr="0028364C" w:rsidRDefault="00AD538B" w:rsidP="009019E6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Javadalmazási Politika hatálya alá tartozó személyi kör tekintetében </w:t>
      </w:r>
      <w:r w:rsidR="00843158" w:rsidRPr="0028364C">
        <w:rPr>
          <w:rFonts w:ascii="Times New Roman" w:hAnsi="Times New Roman" w:cs="Times New Roman"/>
          <w:sz w:val="24"/>
          <w:szCs w:val="24"/>
        </w:rPr>
        <w:t>a javadalmazás csak alapjavadal</w:t>
      </w:r>
      <w:r w:rsidRPr="0028364C">
        <w:rPr>
          <w:rFonts w:ascii="Times New Roman" w:hAnsi="Times New Roman" w:cs="Times New Roman"/>
          <w:sz w:val="24"/>
          <w:szCs w:val="24"/>
        </w:rPr>
        <w:t>m</w:t>
      </w:r>
      <w:r w:rsidR="00843158" w:rsidRPr="0028364C">
        <w:rPr>
          <w:rFonts w:ascii="Times New Roman" w:hAnsi="Times New Roman" w:cs="Times New Roman"/>
          <w:sz w:val="24"/>
          <w:szCs w:val="24"/>
        </w:rPr>
        <w:t>a</w:t>
      </w:r>
      <w:r w:rsidRPr="0028364C">
        <w:rPr>
          <w:rFonts w:ascii="Times New Roman" w:hAnsi="Times New Roman" w:cs="Times New Roman"/>
          <w:sz w:val="24"/>
          <w:szCs w:val="24"/>
        </w:rPr>
        <w:t xml:space="preserve">zás vagy teljesítményjavadalmazás lehet, a javadalmazásnak </w:t>
      </w:r>
      <w:r w:rsidR="00F051D7" w:rsidRPr="0028364C">
        <w:rPr>
          <w:rFonts w:ascii="Times New Roman" w:hAnsi="Times New Roman" w:cs="Times New Roman"/>
          <w:sz w:val="24"/>
          <w:szCs w:val="24"/>
        </w:rPr>
        <w:t>nincs har</w:t>
      </w:r>
      <w:r w:rsidR="00736643" w:rsidRPr="0028364C">
        <w:rPr>
          <w:rFonts w:ascii="Times New Roman" w:hAnsi="Times New Roman" w:cs="Times New Roman"/>
          <w:sz w:val="24"/>
          <w:szCs w:val="24"/>
        </w:rPr>
        <w:t xml:space="preserve">madik kategóriája, azáltal a </w:t>
      </w:r>
      <w:r w:rsidR="00F371CD">
        <w:rPr>
          <w:rFonts w:ascii="Times New Roman" w:hAnsi="Times New Roman" w:cs="Times New Roman"/>
          <w:sz w:val="24"/>
          <w:szCs w:val="24"/>
        </w:rPr>
        <w:t>Bank</w:t>
      </w:r>
      <w:r w:rsidR="00F371CD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Pr="0028364C">
        <w:rPr>
          <w:rFonts w:ascii="Times New Roman" w:hAnsi="Times New Roman" w:cs="Times New Roman"/>
          <w:sz w:val="24"/>
          <w:szCs w:val="24"/>
        </w:rPr>
        <w:t>esetén a javadalmazás minden elemét alap- vagy teljesítményjava</w:t>
      </w:r>
      <w:r w:rsidR="00F051D7" w:rsidRPr="0028364C">
        <w:rPr>
          <w:rFonts w:ascii="Times New Roman" w:hAnsi="Times New Roman" w:cs="Times New Roman"/>
          <w:sz w:val="24"/>
          <w:szCs w:val="24"/>
        </w:rPr>
        <w:t>dalmazáshoz kell besorolni</w:t>
      </w:r>
      <w:r w:rsidRPr="0028364C">
        <w:rPr>
          <w:rFonts w:ascii="Times New Roman" w:hAnsi="Times New Roman" w:cs="Times New Roman"/>
          <w:sz w:val="24"/>
          <w:szCs w:val="24"/>
        </w:rPr>
        <w:t>.</w:t>
      </w:r>
    </w:p>
    <w:p w14:paraId="3271D7FF" w14:textId="0397F408" w:rsidR="00794ED2" w:rsidRPr="00524585" w:rsidRDefault="003A047B" w:rsidP="00524585">
      <w:pPr>
        <w:rPr>
          <w:rFonts w:ascii="Times New Roman" w:hAnsi="Times New Roman" w:cs="Times New Roman"/>
          <w:b/>
          <w:sz w:val="24"/>
          <w:szCs w:val="24"/>
        </w:rPr>
      </w:pPr>
      <w:r w:rsidRPr="0028364C">
        <w:rPr>
          <w:rFonts w:ascii="Times New Roman" w:hAnsi="Times New Roman" w:cs="Times New Roman"/>
          <w:b/>
          <w:sz w:val="24"/>
          <w:szCs w:val="24"/>
        </w:rPr>
        <w:t xml:space="preserve">A munkavégzéstől független javadalmazási elemeket a Duna Takarék Bank Zrt. </w:t>
      </w:r>
      <w:r w:rsidR="00DA06B4" w:rsidRPr="0028364C">
        <w:rPr>
          <w:rFonts w:ascii="Times New Roman" w:hAnsi="Times New Roman" w:cs="Times New Roman"/>
          <w:b/>
          <w:sz w:val="24"/>
          <w:szCs w:val="24"/>
        </w:rPr>
        <w:t>Humánerőforrás gazdálkodásra vonatkozó szabályzata tartalmazza.</w:t>
      </w:r>
    </w:p>
    <w:p w14:paraId="1C1D95A2" w14:textId="77777777" w:rsidR="009019E6" w:rsidRPr="0028364C" w:rsidRDefault="00AD538B" w:rsidP="009019E6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 w:rsidRPr="0028364C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="00424D1A" w:rsidRPr="0028364C">
        <w:rPr>
          <w:rFonts w:ascii="Times New Roman" w:hAnsi="Times New Roman" w:cs="Times New Roman"/>
          <w:b/>
          <w:sz w:val="24"/>
          <w:szCs w:val="24"/>
        </w:rPr>
        <w:t>Alapjavadalmazási formái</w:t>
      </w:r>
    </w:p>
    <w:p w14:paraId="36022B71" w14:textId="77777777" w:rsidR="009019E6" w:rsidRPr="0028364C" w:rsidRDefault="009019E6" w:rsidP="009019E6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C495264" w14:textId="77777777" w:rsidR="00AD538B" w:rsidRPr="0028364C" w:rsidRDefault="00AD538B" w:rsidP="009019E6">
      <w:pPr>
        <w:pStyle w:val="Listaszerbekezds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javadalmazás alapjavadalomnak minősül, ha</w:t>
      </w:r>
    </w:p>
    <w:p w14:paraId="73EA6C9D" w14:textId="77777777" w:rsidR="00AD538B" w:rsidRPr="0028364C" w:rsidRDefault="00AD538B" w:rsidP="00D4215F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előre meghatározott kritériumokon alapulnak; </w:t>
      </w:r>
    </w:p>
    <w:p w14:paraId="0355BC46" w14:textId="77777777" w:rsidR="00AD538B" w:rsidRPr="0028364C" w:rsidRDefault="00AD538B" w:rsidP="00D4215F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objektív módon tükrözik a szakmai tapasztalat szintjét, valamint a munkavállalók szolgálati idejét; </w:t>
      </w:r>
    </w:p>
    <w:p w14:paraId="0B247903" w14:textId="77777777" w:rsidR="00AD538B" w:rsidRPr="0028364C" w:rsidRDefault="00AD538B" w:rsidP="00D4215F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átláthatók az egyes munkavállalók részére megállapított egyéni összegek vonatkozásában; </w:t>
      </w:r>
    </w:p>
    <w:p w14:paraId="114328AE" w14:textId="77777777" w:rsidR="00AD538B" w:rsidRPr="0028364C" w:rsidRDefault="00AD538B" w:rsidP="00D4215F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állandóak, azaz fenntartják azokat a konkrét feladathoz és szervezeti felelősségi körökhöz rendelt időszak alatt; </w:t>
      </w:r>
    </w:p>
    <w:p w14:paraId="587C64B7" w14:textId="77777777" w:rsidR="00AD538B" w:rsidRPr="0028364C" w:rsidRDefault="00AD538B" w:rsidP="00D4215F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nem visszavonhatók; az állandó összeget csak kollektív bértárgyaláson keresztül, vagy újratárgyalást követően módosítják a bérmegállapításra vonatkozó hazai kritériumokkal összhangban; </w:t>
      </w:r>
    </w:p>
    <w:p w14:paraId="3730A197" w14:textId="77777777" w:rsidR="00AD538B" w:rsidRPr="0028364C" w:rsidRDefault="00AD538B" w:rsidP="00D4215F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az intézmény által nem csökkenthetők, függeszthetők fel vagy szüntethetők meg; </w:t>
      </w:r>
    </w:p>
    <w:p w14:paraId="5FB3E0EA" w14:textId="77777777" w:rsidR="00AD538B" w:rsidRPr="0028364C" w:rsidRDefault="00AD538B" w:rsidP="00D4215F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nem ösztönzik a kockázatvállalást; valamint </w:t>
      </w:r>
    </w:p>
    <w:p w14:paraId="12C860A7" w14:textId="77777777" w:rsidR="00AD538B" w:rsidRPr="0028364C" w:rsidRDefault="00D4215F" w:rsidP="00641DF2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nem függnek a teljesítménytől.</w:t>
      </w:r>
    </w:p>
    <w:p w14:paraId="2C30B2DF" w14:textId="77777777" w:rsidR="0012387A" w:rsidRPr="0028364C" w:rsidRDefault="0012387A" w:rsidP="009019E6">
      <w:pPr>
        <w:pStyle w:val="Cmsor3"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</w:rPr>
      </w:pPr>
      <w:bookmarkStart w:id="6" w:name="_Toc462477609"/>
      <w:bookmarkStart w:id="7" w:name="_Toc482706594"/>
      <w:bookmarkStart w:id="8" w:name="_Toc75937747"/>
      <w:r w:rsidRPr="0028364C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</w:rPr>
        <w:t>Alapbér</w:t>
      </w:r>
      <w:bookmarkEnd w:id="6"/>
      <w:bookmarkEnd w:id="7"/>
      <w:bookmarkEnd w:id="8"/>
    </w:p>
    <w:p w14:paraId="634AE46F" w14:textId="77777777" w:rsidR="003A1102" w:rsidRPr="0028364C" w:rsidRDefault="003A1102" w:rsidP="003A1102">
      <w:pPr>
        <w:pStyle w:val="Default"/>
        <w:rPr>
          <w:rFonts w:ascii="Times New Roman" w:eastAsiaTheme="minorEastAsia" w:hAnsi="Times New Roman" w:cs="Times New Roman"/>
          <w:color w:val="auto"/>
          <w:lang w:eastAsia="en-US"/>
        </w:rPr>
      </w:pPr>
    </w:p>
    <w:p w14:paraId="4B2A64D8" w14:textId="758984CC" w:rsidR="0012387A" w:rsidRPr="0028364C" w:rsidRDefault="0012387A" w:rsidP="009019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</w:t>
      </w:r>
      <w:r w:rsidR="00F371CD">
        <w:rPr>
          <w:rFonts w:ascii="Times New Roman" w:hAnsi="Times New Roman" w:cs="Times New Roman"/>
          <w:sz w:val="24"/>
          <w:szCs w:val="24"/>
        </w:rPr>
        <w:t xml:space="preserve">Bank </w:t>
      </w:r>
      <w:r w:rsidRPr="0028364C">
        <w:rPr>
          <w:rFonts w:ascii="Times New Roman" w:hAnsi="Times New Roman" w:cs="Times New Roman"/>
          <w:sz w:val="24"/>
          <w:szCs w:val="24"/>
        </w:rPr>
        <w:t xml:space="preserve">munkavállalói alapbérre jogosultak, amelyet </w:t>
      </w:r>
      <w:r w:rsidR="003A1102" w:rsidRPr="0028364C">
        <w:rPr>
          <w:rFonts w:ascii="Times New Roman" w:hAnsi="Times New Roman" w:cs="Times New Roman"/>
          <w:sz w:val="24"/>
          <w:szCs w:val="24"/>
        </w:rPr>
        <w:t xml:space="preserve">a </w:t>
      </w:r>
      <w:r w:rsidRPr="0028364C">
        <w:rPr>
          <w:rFonts w:ascii="Times New Roman" w:hAnsi="Times New Roman" w:cs="Times New Roman"/>
          <w:sz w:val="24"/>
          <w:szCs w:val="24"/>
        </w:rPr>
        <w:t xml:space="preserve">számlájukra </w:t>
      </w:r>
      <w:r w:rsidR="00F051D7" w:rsidRPr="0028364C">
        <w:rPr>
          <w:rFonts w:ascii="Times New Roman" w:hAnsi="Times New Roman" w:cs="Times New Roman"/>
          <w:sz w:val="24"/>
          <w:szCs w:val="24"/>
        </w:rPr>
        <w:t>történő átutalással kapnak meg.</w:t>
      </w:r>
    </w:p>
    <w:p w14:paraId="346B893D" w14:textId="22403BD5" w:rsidR="0012387A" w:rsidRPr="0028364C" w:rsidRDefault="0012387A" w:rsidP="009019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Alapjavadalomnak minősül továbbá az Mt. szabályai alapján </w:t>
      </w:r>
      <w:r w:rsidR="003A1102" w:rsidRPr="0028364C">
        <w:rPr>
          <w:rFonts w:ascii="Times New Roman" w:hAnsi="Times New Roman" w:cs="Times New Roman"/>
          <w:sz w:val="24"/>
          <w:szCs w:val="24"/>
        </w:rPr>
        <w:t xml:space="preserve">fizetett díj és pótlék (pl.: </w:t>
      </w:r>
      <w:r w:rsidRPr="0028364C">
        <w:rPr>
          <w:rFonts w:ascii="Times New Roman" w:hAnsi="Times New Roman" w:cs="Times New Roman"/>
          <w:sz w:val="24"/>
          <w:szCs w:val="24"/>
        </w:rPr>
        <w:t xml:space="preserve">rendkívüli munkavégzés esetén fizetett </w:t>
      </w:r>
      <w:r w:rsidR="00211035" w:rsidRPr="0028364C">
        <w:rPr>
          <w:rFonts w:ascii="Times New Roman" w:hAnsi="Times New Roman" w:cs="Times New Roman"/>
          <w:sz w:val="24"/>
          <w:szCs w:val="24"/>
        </w:rPr>
        <w:t>bér</w:t>
      </w:r>
      <w:r w:rsidRPr="0028364C">
        <w:rPr>
          <w:rFonts w:ascii="Times New Roman" w:hAnsi="Times New Roman" w:cs="Times New Roman"/>
          <w:sz w:val="24"/>
          <w:szCs w:val="24"/>
        </w:rPr>
        <w:t>pótlék, munkaviszony megszűnéshez, megszüntetéshez kapcsolódó felmondási idő és szabadság megváltás, továbbá a végkielégítés jogcím alatt kifizetett összeg</w:t>
      </w:r>
      <w:r w:rsidR="003A1102" w:rsidRPr="0028364C">
        <w:rPr>
          <w:rFonts w:ascii="Times New Roman" w:hAnsi="Times New Roman" w:cs="Times New Roman"/>
          <w:sz w:val="24"/>
          <w:szCs w:val="24"/>
        </w:rPr>
        <w:t>,</w:t>
      </w:r>
      <w:r w:rsidRPr="0028364C">
        <w:rPr>
          <w:rFonts w:ascii="Times New Roman" w:hAnsi="Times New Roman" w:cs="Times New Roman"/>
          <w:sz w:val="24"/>
          <w:szCs w:val="24"/>
        </w:rPr>
        <w:t xml:space="preserve"> a </w:t>
      </w:r>
      <w:r w:rsidR="003A1102" w:rsidRPr="0028364C">
        <w:rPr>
          <w:rFonts w:ascii="Times New Roman" w:hAnsi="Times New Roman" w:cs="Times New Roman"/>
          <w:sz w:val="24"/>
          <w:szCs w:val="24"/>
        </w:rPr>
        <w:t>betegszabadság és a táppénz.</w:t>
      </w:r>
      <w:r w:rsidR="002E79A6">
        <w:rPr>
          <w:rFonts w:ascii="Times New Roman" w:hAnsi="Times New Roman" w:cs="Times New Roman"/>
          <w:sz w:val="24"/>
          <w:szCs w:val="24"/>
        </w:rPr>
        <w:t>)</w:t>
      </w:r>
    </w:p>
    <w:p w14:paraId="1C7CA9AD" w14:textId="77777777" w:rsidR="007A4125" w:rsidRPr="0028364C" w:rsidRDefault="0012387A" w:rsidP="009019E6">
      <w:pPr>
        <w:pStyle w:val="Cmsor3"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</w:rPr>
      </w:pPr>
      <w:bookmarkStart w:id="9" w:name="_Toc462477610"/>
      <w:bookmarkStart w:id="10" w:name="_Toc482706595"/>
      <w:bookmarkStart w:id="11" w:name="_Toc75937748"/>
      <w:r w:rsidRPr="0028364C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</w:rPr>
        <w:t>Béren kívüli juttatások</w:t>
      </w:r>
      <w:bookmarkEnd w:id="9"/>
      <w:bookmarkEnd w:id="10"/>
      <w:bookmarkEnd w:id="11"/>
    </w:p>
    <w:p w14:paraId="75861462" w14:textId="6B166049" w:rsidR="0012387A" w:rsidRPr="0028364C" w:rsidRDefault="0012387A" w:rsidP="00901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</w:t>
      </w:r>
      <w:r w:rsidR="008D0565">
        <w:rPr>
          <w:rFonts w:ascii="Times New Roman" w:hAnsi="Times New Roman" w:cs="Times New Roman"/>
          <w:sz w:val="24"/>
          <w:szCs w:val="24"/>
        </w:rPr>
        <w:t>Bank</w:t>
      </w:r>
      <w:r w:rsidR="008D0565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C40FBF">
        <w:rPr>
          <w:rFonts w:ascii="Times New Roman" w:hAnsi="Times New Roman" w:cs="Times New Roman"/>
          <w:sz w:val="24"/>
          <w:szCs w:val="24"/>
        </w:rPr>
        <w:t xml:space="preserve">dolgozói </w:t>
      </w:r>
      <w:r w:rsidR="008839A7" w:rsidRPr="0028364C">
        <w:rPr>
          <w:rFonts w:ascii="Times New Roman" w:hAnsi="Times New Roman" w:cs="Times New Roman"/>
          <w:sz w:val="24"/>
          <w:szCs w:val="24"/>
        </w:rPr>
        <w:t>belső szabályzatban, u</w:t>
      </w:r>
      <w:r w:rsidR="007A4125" w:rsidRPr="0028364C">
        <w:rPr>
          <w:rFonts w:ascii="Times New Roman" w:hAnsi="Times New Roman" w:cs="Times New Roman"/>
          <w:sz w:val="24"/>
          <w:szCs w:val="24"/>
        </w:rPr>
        <w:t>t</w:t>
      </w:r>
      <w:r w:rsidR="00BB10A3" w:rsidRPr="0028364C">
        <w:rPr>
          <w:rFonts w:ascii="Times New Roman" w:hAnsi="Times New Roman" w:cs="Times New Roman"/>
          <w:sz w:val="24"/>
          <w:szCs w:val="24"/>
        </w:rPr>
        <w:t>asításban</w:t>
      </w:r>
      <w:r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7A4125" w:rsidRPr="0028364C">
        <w:rPr>
          <w:rFonts w:ascii="Times New Roman" w:hAnsi="Times New Roman" w:cs="Times New Roman"/>
          <w:sz w:val="24"/>
          <w:szCs w:val="24"/>
        </w:rPr>
        <w:t>meg</w:t>
      </w:r>
      <w:r w:rsidR="00BB10A3" w:rsidRPr="0028364C">
        <w:rPr>
          <w:rFonts w:ascii="Times New Roman" w:hAnsi="Times New Roman" w:cs="Times New Roman"/>
          <w:sz w:val="24"/>
          <w:szCs w:val="24"/>
        </w:rPr>
        <w:t>határozottak alapján</w:t>
      </w:r>
      <w:r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2A6CE9" w:rsidRPr="0028364C">
        <w:rPr>
          <w:rFonts w:ascii="Times New Roman" w:hAnsi="Times New Roman" w:cs="Times New Roman"/>
          <w:sz w:val="24"/>
          <w:szCs w:val="24"/>
        </w:rPr>
        <w:t>béren kívüli</w:t>
      </w:r>
      <w:r w:rsidRPr="0028364C">
        <w:rPr>
          <w:rFonts w:ascii="Times New Roman" w:hAnsi="Times New Roman" w:cs="Times New Roman"/>
          <w:sz w:val="24"/>
          <w:szCs w:val="24"/>
        </w:rPr>
        <w:t xml:space="preserve"> juttatások</w:t>
      </w:r>
      <w:r w:rsidR="007A4125" w:rsidRPr="0028364C">
        <w:rPr>
          <w:rFonts w:ascii="Times New Roman" w:hAnsi="Times New Roman" w:cs="Times New Roman"/>
          <w:sz w:val="24"/>
          <w:szCs w:val="24"/>
        </w:rPr>
        <w:t>ra lehetnek jogosultak</w:t>
      </w:r>
      <w:r w:rsidR="002A6CE9" w:rsidRPr="0028364C">
        <w:rPr>
          <w:rFonts w:ascii="Times New Roman" w:hAnsi="Times New Roman" w:cs="Times New Roman"/>
          <w:sz w:val="24"/>
          <w:szCs w:val="24"/>
        </w:rPr>
        <w:t xml:space="preserve">. Ezen juttatásokról a Bank </w:t>
      </w:r>
      <w:r w:rsidR="00A24B5A" w:rsidRPr="0028364C">
        <w:rPr>
          <w:rFonts w:ascii="Times New Roman" w:hAnsi="Times New Roman" w:cs="Times New Roman"/>
          <w:sz w:val="24"/>
          <w:szCs w:val="24"/>
        </w:rPr>
        <w:t>Humánerőforrás gazdálkodásra vonatkozó szabályzata</w:t>
      </w:r>
      <w:r w:rsidR="002A6CE9" w:rsidRPr="0028364C">
        <w:rPr>
          <w:rFonts w:ascii="Times New Roman" w:hAnsi="Times New Roman" w:cs="Times New Roman"/>
          <w:sz w:val="24"/>
          <w:szCs w:val="24"/>
        </w:rPr>
        <w:t xml:space="preserve"> rendelkezik.</w:t>
      </w:r>
      <w:r w:rsidRPr="002836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89E00" w14:textId="77777777" w:rsidR="001E3749" w:rsidRPr="0028364C" w:rsidRDefault="001E3749" w:rsidP="00901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DB6EC" w14:textId="77777777" w:rsidR="001E3749" w:rsidRPr="00B40543" w:rsidRDefault="001E3749" w:rsidP="001E3749">
      <w:pPr>
        <w:tabs>
          <w:tab w:val="left" w:pos="786"/>
          <w:tab w:val="left" w:pos="85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40543">
        <w:rPr>
          <w:rFonts w:ascii="Times New Roman" w:hAnsi="Times New Roman" w:cs="Times New Roman"/>
          <w:sz w:val="24"/>
          <w:szCs w:val="24"/>
        </w:rPr>
        <w:t>A Bank béren kívüli juttatásként</w:t>
      </w:r>
    </w:p>
    <w:p w14:paraId="6DCF4F34" w14:textId="77777777" w:rsidR="001E3749" w:rsidRPr="0028364C" w:rsidRDefault="001E3749" w:rsidP="001E3749">
      <w:pPr>
        <w:pStyle w:val="Listaszerbekezds"/>
        <w:numPr>
          <w:ilvl w:val="0"/>
          <w:numId w:val="30"/>
        </w:numPr>
        <w:tabs>
          <w:tab w:val="left" w:pos="786"/>
          <w:tab w:val="left" w:pos="851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választható béren kívüli juttatásokat nyújt (Cafeteria),</w:t>
      </w:r>
    </w:p>
    <w:p w14:paraId="451E6511" w14:textId="77777777" w:rsidR="001E3749" w:rsidRPr="0028364C" w:rsidRDefault="001E3749" w:rsidP="001E3749">
      <w:pPr>
        <w:pStyle w:val="Listaszerbekezds"/>
        <w:numPr>
          <w:ilvl w:val="0"/>
          <w:numId w:val="30"/>
        </w:numPr>
        <w:tabs>
          <w:tab w:val="left" w:pos="78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munkába járáshoz közlekedési hozzájárulást nyújt, </w:t>
      </w:r>
    </w:p>
    <w:p w14:paraId="3A181BA9" w14:textId="68AF4FBD" w:rsidR="001E3749" w:rsidRPr="0028364C" w:rsidRDefault="001E3749" w:rsidP="001E3749">
      <w:pPr>
        <w:pStyle w:val="Listaszerbekezds"/>
        <w:numPr>
          <w:ilvl w:val="0"/>
          <w:numId w:val="30"/>
        </w:numPr>
        <w:tabs>
          <w:tab w:val="left" w:pos="78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egyes munkavállalói számára személyes és/vagy hivatali célú, banki tulajdonú gépjármű</w:t>
      </w:r>
      <w:r w:rsidR="00EC11A7">
        <w:rPr>
          <w:rFonts w:ascii="Times New Roman" w:hAnsi="Times New Roman" w:cs="Times New Roman"/>
          <w:sz w:val="24"/>
          <w:szCs w:val="24"/>
        </w:rPr>
        <w:t>t ad</w:t>
      </w:r>
      <w:r w:rsidRPr="0028364C">
        <w:rPr>
          <w:rFonts w:ascii="Times New Roman" w:hAnsi="Times New Roman" w:cs="Times New Roman"/>
          <w:sz w:val="24"/>
          <w:szCs w:val="24"/>
        </w:rPr>
        <w:t>, illetve</w:t>
      </w:r>
    </w:p>
    <w:p w14:paraId="49E9FE1B" w14:textId="77777777" w:rsidR="001E3749" w:rsidRPr="0028364C" w:rsidRDefault="001E3749" w:rsidP="001E3749">
      <w:pPr>
        <w:pStyle w:val="Listaszerbekezds"/>
        <w:numPr>
          <w:ilvl w:val="0"/>
          <w:numId w:val="30"/>
        </w:numPr>
        <w:tabs>
          <w:tab w:val="left" w:pos="78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mobiltelefon és mobilinternet használatot biztosít</w:t>
      </w:r>
    </w:p>
    <w:p w14:paraId="30C6383D" w14:textId="77777777" w:rsidR="001E3749" w:rsidRPr="0028364C" w:rsidRDefault="001E3749" w:rsidP="001E3749">
      <w:pPr>
        <w:pStyle w:val="Listaszerbekezds"/>
        <w:numPr>
          <w:ilvl w:val="0"/>
          <w:numId w:val="30"/>
        </w:numPr>
        <w:tabs>
          <w:tab w:val="left" w:pos="78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lastRenderedPageBreak/>
        <w:t>kedvezményes dolgozói hitelt, betételhelyezési lehetőséget valamint munkabér előleget nyújt</w:t>
      </w:r>
    </w:p>
    <w:p w14:paraId="3F683B40" w14:textId="77777777" w:rsidR="001E3749" w:rsidRPr="0028364C" w:rsidRDefault="001E3749" w:rsidP="001E3749">
      <w:pPr>
        <w:pStyle w:val="Listaszerbekezds"/>
        <w:numPr>
          <w:ilvl w:val="0"/>
          <w:numId w:val="30"/>
        </w:numPr>
        <w:tabs>
          <w:tab w:val="left" w:pos="78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Bank hosszú távú üzleti érdekeinek megfelelő oktatás finanszírozását vállalja</w:t>
      </w:r>
    </w:p>
    <w:p w14:paraId="1CB5DDD8" w14:textId="2C2E95DB" w:rsidR="001E3749" w:rsidRPr="0028364C" w:rsidRDefault="001E3749" w:rsidP="001E3749">
      <w:pPr>
        <w:pStyle w:val="Listaszerbekezds"/>
        <w:numPr>
          <w:ilvl w:val="0"/>
          <w:numId w:val="30"/>
        </w:numPr>
        <w:tabs>
          <w:tab w:val="left" w:pos="78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kitüntetési rendszert alkalmaz</w:t>
      </w:r>
    </w:p>
    <w:p w14:paraId="23E5B55B" w14:textId="632D431C" w:rsidR="00524585" w:rsidRDefault="001E3749" w:rsidP="009019E6">
      <w:pPr>
        <w:pStyle w:val="Listaszerbekezds"/>
        <w:numPr>
          <w:ilvl w:val="0"/>
          <w:numId w:val="30"/>
        </w:numPr>
        <w:tabs>
          <w:tab w:val="left" w:pos="78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egyéb eseti támogatásokat nyújthat (temetési segély, ruházati hozzájárulás, védőszemüveg, iskolakezdési támogatás, dolgozók részére kötött biztosítás)</w:t>
      </w:r>
      <w:bookmarkStart w:id="12" w:name="_Toc462477611"/>
    </w:p>
    <w:p w14:paraId="5A747930" w14:textId="77777777" w:rsidR="0059797D" w:rsidRPr="0059797D" w:rsidRDefault="0059797D" w:rsidP="0059797D">
      <w:pPr>
        <w:pStyle w:val="Listaszerbekezds"/>
        <w:tabs>
          <w:tab w:val="left" w:pos="78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7B3C5" w14:textId="77777777" w:rsidR="005B495F" w:rsidRPr="0028364C" w:rsidRDefault="0012387A" w:rsidP="009019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64C">
        <w:rPr>
          <w:rFonts w:ascii="Times New Roman" w:hAnsi="Times New Roman" w:cs="Times New Roman"/>
          <w:sz w:val="24"/>
          <w:szCs w:val="24"/>
          <w:u w:val="single"/>
        </w:rPr>
        <w:t>Tiszteletdíj</w:t>
      </w:r>
      <w:bookmarkEnd w:id="12"/>
    </w:p>
    <w:p w14:paraId="75A04642" w14:textId="613134E7" w:rsidR="005A7570" w:rsidRDefault="0012387A" w:rsidP="005A7570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</w:t>
      </w:r>
      <w:r w:rsidR="00C40FBF">
        <w:rPr>
          <w:rFonts w:ascii="Times New Roman" w:hAnsi="Times New Roman" w:cs="Times New Roman"/>
          <w:sz w:val="24"/>
          <w:szCs w:val="24"/>
        </w:rPr>
        <w:t>Bank</w:t>
      </w:r>
      <w:r w:rsidR="00C40FBF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Pr="0028364C">
        <w:rPr>
          <w:rFonts w:ascii="Times New Roman" w:hAnsi="Times New Roman" w:cs="Times New Roman"/>
          <w:sz w:val="24"/>
          <w:szCs w:val="24"/>
        </w:rPr>
        <w:t xml:space="preserve">Igazgatóságának és Felügyelőbizottságának elnöke és tagjai </w:t>
      </w:r>
      <w:r w:rsidR="00307928">
        <w:rPr>
          <w:rFonts w:ascii="Times New Roman" w:hAnsi="Times New Roman" w:cs="Times New Roman"/>
          <w:sz w:val="24"/>
          <w:szCs w:val="24"/>
        </w:rPr>
        <w:t>a Közgyűlés által meghatározott összegben és</w:t>
      </w:r>
      <w:r w:rsidRPr="0028364C">
        <w:rPr>
          <w:rFonts w:ascii="Times New Roman" w:hAnsi="Times New Roman" w:cs="Times New Roman"/>
          <w:sz w:val="24"/>
          <w:szCs w:val="24"/>
        </w:rPr>
        <w:t xml:space="preserve"> rendszerességgel </w:t>
      </w:r>
      <w:r w:rsidR="003B56A1" w:rsidRPr="0028364C">
        <w:rPr>
          <w:rFonts w:ascii="Times New Roman" w:hAnsi="Times New Roman" w:cs="Times New Roman"/>
          <w:sz w:val="24"/>
          <w:szCs w:val="24"/>
        </w:rPr>
        <w:t>tiszteletdíjban részesülhetnek.</w:t>
      </w:r>
      <w:r w:rsidR="00A448C3" w:rsidRPr="0028364C">
        <w:rPr>
          <w:rFonts w:ascii="Times New Roman" w:hAnsi="Times New Roman" w:cs="Times New Roman"/>
          <w:sz w:val="24"/>
          <w:szCs w:val="24"/>
        </w:rPr>
        <w:t xml:space="preserve"> A külső IG/FB tagok teljesítményjavadalmazásban nem részesülnek.</w:t>
      </w:r>
    </w:p>
    <w:p w14:paraId="405FC4DB" w14:textId="77777777" w:rsidR="005A7570" w:rsidRPr="0028364C" w:rsidRDefault="005A7570" w:rsidP="005A7570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2C6EAF" w14:textId="77777777" w:rsidR="00F051D7" w:rsidRPr="0028364C" w:rsidRDefault="00DA0B75" w:rsidP="009019E6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 w:rsidRPr="0028364C"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="00424D1A" w:rsidRPr="0028364C">
        <w:rPr>
          <w:rFonts w:ascii="Times New Roman" w:hAnsi="Times New Roman" w:cs="Times New Roman"/>
          <w:b/>
          <w:sz w:val="24"/>
          <w:szCs w:val="24"/>
        </w:rPr>
        <w:t>Teljesítményjavadalmazás formái</w:t>
      </w:r>
      <w:bookmarkStart w:id="13" w:name="_Toc482706597"/>
    </w:p>
    <w:p w14:paraId="259F0AEA" w14:textId="77777777" w:rsidR="00F051D7" w:rsidRPr="0028364C" w:rsidRDefault="00F051D7" w:rsidP="009019E6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1727697" w14:textId="77777777" w:rsidR="002C1C47" w:rsidRPr="0028364C" w:rsidRDefault="00F32669" w:rsidP="009019E6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Minden javadalomelem, amely nem felel meg az alapjavadalmazás címszó alatt felsorolt kritériumoknak, teljesítményjavadalomnak minősül, így különösen:</w:t>
      </w:r>
      <w:bookmarkStart w:id="14" w:name="_Toc482706598"/>
      <w:bookmarkEnd w:id="13"/>
    </w:p>
    <w:p w14:paraId="7F3C78E9" w14:textId="77777777" w:rsidR="002C1C47" w:rsidRPr="0028364C" w:rsidRDefault="002E24B4" w:rsidP="002659F9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prémium, célprémium</w:t>
      </w:r>
      <w:r w:rsidR="00F32669" w:rsidRPr="0028364C">
        <w:rPr>
          <w:rFonts w:ascii="Times New Roman" w:hAnsi="Times New Roman" w:cs="Times New Roman"/>
          <w:sz w:val="24"/>
          <w:szCs w:val="24"/>
        </w:rPr>
        <w:t>, jutalom, jutalék</w:t>
      </w:r>
      <w:bookmarkStart w:id="15" w:name="_Toc482706599"/>
      <w:bookmarkEnd w:id="14"/>
    </w:p>
    <w:p w14:paraId="4DF77EBA" w14:textId="77777777" w:rsidR="000A4C5E" w:rsidRPr="0028364C" w:rsidRDefault="00F32669" w:rsidP="000A4C5E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munkaviszony megszüntetés esetén közös megegyezéshez kapcsolódóan kifizetett összeg</w:t>
      </w:r>
      <w:bookmarkEnd w:id="15"/>
      <w:r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2E24B4" w:rsidRPr="0028364C">
        <w:rPr>
          <w:rFonts w:ascii="Times New Roman" w:hAnsi="Times New Roman" w:cs="Times New Roman"/>
          <w:sz w:val="24"/>
          <w:szCs w:val="24"/>
        </w:rPr>
        <w:t>(a Munka Törvénykönyvben, vagy az egyéni munkaszerződésben foglalt összegen felüli rész)</w:t>
      </w:r>
      <w:bookmarkStart w:id="16" w:name="_Toc482706600"/>
    </w:p>
    <w:p w14:paraId="2AC5779E" w14:textId="77777777" w:rsidR="00EE29F0" w:rsidRPr="0028364C" w:rsidRDefault="00EE29F0" w:rsidP="009019E6">
      <w:pPr>
        <w:pStyle w:val="Cmsor3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</w:rPr>
      </w:pPr>
      <w:bookmarkStart w:id="17" w:name="_Toc75937749"/>
      <w:r w:rsidRPr="0028364C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</w:rPr>
        <w:t>Prémium</w:t>
      </w:r>
      <w:bookmarkEnd w:id="16"/>
      <w:bookmarkEnd w:id="17"/>
    </w:p>
    <w:p w14:paraId="748ABE43" w14:textId="009305E9" w:rsidR="00D467CF" w:rsidRPr="0028364C" w:rsidRDefault="00E134E5" w:rsidP="009019E6">
      <w:pPr>
        <w:pStyle w:val="Cmsor3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18" w:name="_Toc482706601"/>
      <w:bookmarkStart w:id="19" w:name="_Toc75937750"/>
      <w:r w:rsidRPr="0028364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A </w:t>
      </w:r>
      <w:r w:rsidR="00BA0BDD">
        <w:rPr>
          <w:rFonts w:ascii="Times New Roman" w:eastAsiaTheme="minorEastAsia" w:hAnsi="Times New Roman" w:cs="Times New Roman"/>
          <w:color w:val="auto"/>
          <w:sz w:val="24"/>
          <w:szCs w:val="24"/>
        </w:rPr>
        <w:t>Bank</w:t>
      </w:r>
      <w:r w:rsidR="00BA0BDD" w:rsidRPr="0028364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="00D467CF" w:rsidRPr="0028364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belső szabályzatban rendelkezik - A </w:t>
      </w:r>
      <w:r w:rsidR="00D467CF" w:rsidRPr="0028364C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 xml:space="preserve">Duna Takarék Bank Zrt. (DTB) </w:t>
      </w:r>
      <w:r w:rsidR="00371669" w:rsidRPr="0028364C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központi teljesítmény értékelési és mozgóbérezési</w:t>
      </w:r>
      <w:r w:rsidR="00D467CF" w:rsidRPr="0028364C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 xml:space="preserve"> rendszerének</w:t>
      </w:r>
      <w:r w:rsidR="00D467CF" w:rsidRPr="0028364C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="00D467CF" w:rsidRPr="000F4B51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 xml:space="preserve">alapelvei </w:t>
      </w:r>
      <w:r w:rsidR="00D467CF" w:rsidRPr="0028364C">
        <w:rPr>
          <w:rFonts w:ascii="Times New Roman" w:eastAsiaTheme="minorEastAsia" w:hAnsi="Times New Roman" w:cs="Times New Roman"/>
          <w:color w:val="auto"/>
          <w:sz w:val="24"/>
          <w:szCs w:val="24"/>
        </w:rPr>
        <w:t>- a Prémiumra jogosultakra von</w:t>
      </w:r>
      <w:r w:rsidR="00A47FCB" w:rsidRPr="0028364C">
        <w:rPr>
          <w:rFonts w:ascii="Times New Roman" w:eastAsiaTheme="minorEastAsia" w:hAnsi="Times New Roman" w:cs="Times New Roman"/>
          <w:color w:val="auto"/>
          <w:sz w:val="24"/>
          <w:szCs w:val="24"/>
        </w:rPr>
        <w:t>at</w:t>
      </w:r>
      <w:r w:rsidR="00D467CF" w:rsidRPr="0028364C">
        <w:rPr>
          <w:rFonts w:ascii="Times New Roman" w:eastAsiaTheme="minorEastAsia" w:hAnsi="Times New Roman" w:cs="Times New Roman"/>
          <w:color w:val="auto"/>
          <w:sz w:val="24"/>
          <w:szCs w:val="24"/>
        </w:rPr>
        <w:t>kozóan. A szabályzat elválaszthatatlan rész</w:t>
      </w:r>
      <w:r w:rsidR="00641DF2" w:rsidRPr="0028364C">
        <w:rPr>
          <w:rFonts w:ascii="Times New Roman" w:eastAsiaTheme="minorEastAsia" w:hAnsi="Times New Roman" w:cs="Times New Roman"/>
          <w:color w:val="auto"/>
          <w:sz w:val="24"/>
          <w:szCs w:val="24"/>
        </w:rPr>
        <w:t>e a Javadalmazási Politikának (</w:t>
      </w:r>
      <w:r w:rsidR="00641DF2" w:rsidRPr="0028364C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3</w:t>
      </w:r>
      <w:r w:rsidR="00D467CF" w:rsidRPr="0028364C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. sz.</w:t>
      </w:r>
      <w:r w:rsidR="00371669" w:rsidRPr="0028364C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 xml:space="preserve"> </w:t>
      </w:r>
      <w:r w:rsidR="00D467CF" w:rsidRPr="0028364C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melléklet</w:t>
      </w:r>
      <w:r w:rsidR="00D467CF" w:rsidRPr="0028364C">
        <w:rPr>
          <w:rFonts w:ascii="Times New Roman" w:eastAsiaTheme="minorEastAsia" w:hAnsi="Times New Roman" w:cs="Times New Roman"/>
          <w:color w:val="auto"/>
          <w:sz w:val="24"/>
          <w:szCs w:val="24"/>
        </w:rPr>
        <w:t>).</w:t>
      </w:r>
      <w:bookmarkEnd w:id="18"/>
      <w:bookmarkEnd w:id="19"/>
    </w:p>
    <w:p w14:paraId="09B216B1" w14:textId="77777777" w:rsidR="00641DF2" w:rsidRPr="0028364C" w:rsidRDefault="00641DF2" w:rsidP="009019E6">
      <w:pPr>
        <w:pStyle w:val="Cmsor3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20" w:name="_Toc482706602"/>
    </w:p>
    <w:p w14:paraId="101D2BA4" w14:textId="77777777" w:rsidR="00D467CF" w:rsidRPr="0028364C" w:rsidRDefault="00D467CF" w:rsidP="009019E6">
      <w:pPr>
        <w:pStyle w:val="Cmsor3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bookmarkStart w:id="21" w:name="_Toc75937751"/>
      <w:r w:rsidRPr="0028364C">
        <w:rPr>
          <w:rFonts w:ascii="Times New Roman" w:eastAsiaTheme="minorEastAsia" w:hAnsi="Times New Roman" w:cs="Times New Roman"/>
          <w:color w:val="auto"/>
          <w:sz w:val="24"/>
          <w:szCs w:val="24"/>
        </w:rPr>
        <w:t>A szabályzat magában foglalja az alábbi iránymutatásokat:</w:t>
      </w:r>
      <w:bookmarkEnd w:id="20"/>
      <w:bookmarkEnd w:id="21"/>
    </w:p>
    <w:p w14:paraId="4A1FF3EA" w14:textId="77777777" w:rsidR="00D467CF" w:rsidRPr="0028364C" w:rsidRDefault="00D467CF" w:rsidP="00D467CF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Az ösztönzési rendszer célja</w:t>
      </w:r>
    </w:p>
    <w:p w14:paraId="46DD40D5" w14:textId="77777777" w:rsidR="00D467CF" w:rsidRPr="0028364C" w:rsidRDefault="00D467CF" w:rsidP="00D467CF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Az ösztönzési rendszer személyi hatálya</w:t>
      </w:r>
    </w:p>
    <w:p w14:paraId="310D09A4" w14:textId="77777777" w:rsidR="00D467CF" w:rsidRPr="0028364C" w:rsidRDefault="00D467CF" w:rsidP="00D467CF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Az ösztönzési rendszer formája</w:t>
      </w:r>
    </w:p>
    <w:p w14:paraId="5C379F62" w14:textId="77777777" w:rsidR="00D467CF" w:rsidRPr="0028364C" w:rsidRDefault="00D467CF" w:rsidP="00D467CF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Az ösztönzési rendszer keretében történő pénzbeli juttatás teljesítésének feltételei</w:t>
      </w:r>
    </w:p>
    <w:p w14:paraId="5CEA6564" w14:textId="77777777" w:rsidR="00F32669" w:rsidRPr="0028364C" w:rsidRDefault="00D467CF" w:rsidP="0025764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Az ösztönzési rendszer keretében adható pénzbeli juttatás lehetséges összege</w:t>
      </w:r>
    </w:p>
    <w:p w14:paraId="274091A9" w14:textId="77777777" w:rsidR="007C4E13" w:rsidRPr="0028364C" w:rsidRDefault="007C4E13" w:rsidP="00901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Az előre rögzített objektív mutatók meghatározása során a Kormányrendeletnek megfelelően az alábbi szempontokat kell figyelembe venni:</w:t>
      </w:r>
    </w:p>
    <w:p w14:paraId="7320BC2F" w14:textId="77777777" w:rsidR="007C4E13" w:rsidRPr="0028364C" w:rsidRDefault="007C4E13" w:rsidP="007C4E13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az elért adózás előtti eredmény, </w:t>
      </w:r>
    </w:p>
    <w:p w14:paraId="49E05554" w14:textId="77777777" w:rsidR="007C4E13" w:rsidRPr="0028364C" w:rsidRDefault="007C4E13" w:rsidP="007C4E13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nem teljesítő hitelek részarányának változása,</w:t>
      </w:r>
    </w:p>
    <w:p w14:paraId="3E3653E7" w14:textId="77777777" w:rsidR="007C4E13" w:rsidRPr="0028364C" w:rsidRDefault="007C4E13" w:rsidP="007C4E13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tőkekövetelmény előírásnak való megfelelés mértéke,</w:t>
      </w:r>
    </w:p>
    <w:p w14:paraId="453D9D55" w14:textId="77777777" w:rsidR="007C4E13" w:rsidRPr="0028364C" w:rsidRDefault="007C4E13" w:rsidP="007C4E13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likviditási kockázatokat mérő mutatószámok változása,</w:t>
      </w:r>
    </w:p>
    <w:p w14:paraId="67C9AC9A" w14:textId="258913BF" w:rsidR="007C4E13" w:rsidRPr="0028364C" w:rsidRDefault="00E134E5" w:rsidP="007C4E13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</w:t>
      </w:r>
      <w:r w:rsidR="00BA0BDD">
        <w:rPr>
          <w:rFonts w:ascii="Times New Roman" w:hAnsi="Times New Roman" w:cs="Times New Roman"/>
          <w:sz w:val="24"/>
          <w:szCs w:val="24"/>
        </w:rPr>
        <w:t>Bank</w:t>
      </w:r>
      <w:r w:rsidR="00BA0BDD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7C4E13" w:rsidRPr="0028364C">
        <w:rPr>
          <w:rFonts w:ascii="Times New Roman" w:hAnsi="Times New Roman" w:cs="Times New Roman"/>
          <w:sz w:val="24"/>
          <w:szCs w:val="24"/>
        </w:rPr>
        <w:t>által meghatározott egyéb szempont</w:t>
      </w:r>
    </w:p>
    <w:p w14:paraId="3EEF9146" w14:textId="16C744CE" w:rsidR="0047785C" w:rsidRPr="0028364C" w:rsidRDefault="00257648" w:rsidP="009019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célkitűzés és a tényleges teljesítmény értékelés folyamatát, rendjét és operatív feladatait a </w:t>
      </w:r>
      <w:r w:rsidR="00EE29F0" w:rsidRPr="0028364C">
        <w:rPr>
          <w:rFonts w:ascii="Times New Roman" w:hAnsi="Times New Roman" w:cs="Times New Roman"/>
          <w:sz w:val="24"/>
          <w:szCs w:val="24"/>
        </w:rPr>
        <w:t>7. pont</w:t>
      </w:r>
      <w:r w:rsidR="00E876B8" w:rsidRPr="0028364C">
        <w:rPr>
          <w:rFonts w:ascii="Times New Roman" w:hAnsi="Times New Roman" w:cs="Times New Roman"/>
          <w:sz w:val="24"/>
          <w:szCs w:val="24"/>
        </w:rPr>
        <w:t>, továbbá a szabályzat</w:t>
      </w:r>
      <w:r w:rsidR="00A9028E" w:rsidRPr="0028364C">
        <w:rPr>
          <w:rFonts w:ascii="Times New Roman" w:hAnsi="Times New Roman" w:cs="Times New Roman"/>
          <w:sz w:val="24"/>
          <w:szCs w:val="24"/>
        </w:rPr>
        <w:t xml:space="preserve"> 6.</w:t>
      </w:r>
      <w:r w:rsidR="00E876B8" w:rsidRPr="0028364C">
        <w:rPr>
          <w:rFonts w:ascii="Times New Roman" w:hAnsi="Times New Roman" w:cs="Times New Roman"/>
          <w:sz w:val="24"/>
          <w:szCs w:val="24"/>
        </w:rPr>
        <w:t xml:space="preserve"> számú melléklete részletezi</w:t>
      </w:r>
      <w:r w:rsidR="00EE29F0" w:rsidRPr="0028364C">
        <w:rPr>
          <w:rFonts w:ascii="Times New Roman" w:hAnsi="Times New Roman" w:cs="Times New Roman"/>
          <w:sz w:val="24"/>
          <w:szCs w:val="24"/>
        </w:rPr>
        <w:t>.</w:t>
      </w:r>
      <w:r w:rsidRPr="002836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92F16" w14:textId="77777777" w:rsidR="0059797D" w:rsidRDefault="0059797D" w:rsidP="0037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05142" w14:textId="77777777" w:rsidR="0059797D" w:rsidRDefault="0059797D" w:rsidP="0037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4F18A" w14:textId="77777777" w:rsidR="00371669" w:rsidRPr="0028364C" w:rsidRDefault="00371669" w:rsidP="0037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lastRenderedPageBreak/>
        <w:t>Prémiumra az a munkavállaló jogosult, aki az alábbi kritériumok mindegyikének megfelel:</w:t>
      </w:r>
    </w:p>
    <w:p w14:paraId="5DD2FD11" w14:textId="77777777" w:rsidR="00371669" w:rsidRPr="0028364C" w:rsidRDefault="00371669" w:rsidP="00371669">
      <w:pPr>
        <w:numPr>
          <w:ilvl w:val="0"/>
          <w:numId w:val="14"/>
        </w:numPr>
        <w:spacing w:before="100" w:beforeAutospacing="1" w:after="0" w:line="24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rendelkezik az adott évre érvényes célkitűzéssel,</w:t>
      </w:r>
    </w:p>
    <w:p w14:paraId="02436F63" w14:textId="616D39F2" w:rsidR="00371669" w:rsidRPr="0028364C" w:rsidRDefault="00371669" w:rsidP="00371669">
      <w:pPr>
        <w:numPr>
          <w:ilvl w:val="0"/>
          <w:numId w:val="14"/>
        </w:numPr>
        <w:spacing w:before="100" w:beforeAutospacing="1" w:after="0" w:line="24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az értékelt időszaknak legalább a</w:t>
      </w:r>
      <w:r w:rsidR="007A347A">
        <w:rPr>
          <w:rFonts w:ascii="Times New Roman" w:hAnsi="Times New Roman" w:cs="Times New Roman"/>
          <w:sz w:val="24"/>
          <w:szCs w:val="24"/>
        </w:rPr>
        <w:t>z</w:t>
      </w:r>
      <w:r w:rsidRPr="0028364C">
        <w:rPr>
          <w:rFonts w:ascii="Times New Roman" w:hAnsi="Times New Roman" w:cs="Times New Roman"/>
          <w:sz w:val="24"/>
          <w:szCs w:val="24"/>
        </w:rPr>
        <w:t xml:space="preserve"> 50%-át aktív munkaviszonyban (30 napot meghaladó tartós távollét pl. betegség, GYED, GYES, nem számít aktív munkaviszonynak) töltötte</w:t>
      </w:r>
    </w:p>
    <w:p w14:paraId="20303052" w14:textId="7BE8BE6E" w:rsidR="00794ED2" w:rsidRPr="00582330" w:rsidRDefault="00371669" w:rsidP="009019E6">
      <w:pPr>
        <w:numPr>
          <w:ilvl w:val="0"/>
          <w:numId w:val="14"/>
        </w:numPr>
        <w:spacing w:before="100" w:beforeAutospacing="1" w:after="0" w:line="24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kifizetés napján a </w:t>
      </w:r>
      <w:r w:rsidR="00DD235E">
        <w:rPr>
          <w:rFonts w:ascii="Times New Roman" w:hAnsi="Times New Roman" w:cs="Times New Roman"/>
          <w:sz w:val="24"/>
          <w:szCs w:val="24"/>
        </w:rPr>
        <w:t xml:space="preserve">Banknál </w:t>
      </w:r>
      <w:r w:rsidRPr="0028364C">
        <w:rPr>
          <w:rFonts w:ascii="Times New Roman" w:hAnsi="Times New Roman" w:cs="Times New Roman"/>
          <w:sz w:val="24"/>
          <w:szCs w:val="24"/>
        </w:rPr>
        <w:t>munkaviszonyban áll és nem áll felmondás alatt (azonnali hatályú, munkáltatói, vagy munkavállalói felmondás, közös megegyezés).</w:t>
      </w:r>
    </w:p>
    <w:p w14:paraId="584C5546" w14:textId="77777777" w:rsidR="00167F36" w:rsidRPr="0028364C" w:rsidRDefault="00167F36" w:rsidP="009019E6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Kizárja a kifizetést, ha</w:t>
      </w:r>
    </w:p>
    <w:p w14:paraId="037054BF" w14:textId="038E054C" w:rsidR="00167F36" w:rsidRPr="0028364C" w:rsidRDefault="00036684" w:rsidP="005616E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</w:t>
      </w:r>
      <w:r w:rsidR="00DD235E">
        <w:rPr>
          <w:rFonts w:ascii="Times New Roman" w:hAnsi="Times New Roman" w:cs="Times New Roman"/>
          <w:sz w:val="24"/>
          <w:szCs w:val="24"/>
        </w:rPr>
        <w:t>Bank</w:t>
      </w:r>
      <w:r w:rsidR="00DD235E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167F36" w:rsidRPr="0028364C">
        <w:rPr>
          <w:rFonts w:ascii="Times New Roman" w:hAnsi="Times New Roman" w:cs="Times New Roman"/>
          <w:sz w:val="24"/>
          <w:szCs w:val="24"/>
        </w:rPr>
        <w:t>esetében a tőke</w:t>
      </w:r>
      <w:r w:rsidR="00A315BB">
        <w:rPr>
          <w:rFonts w:ascii="Times New Roman" w:hAnsi="Times New Roman" w:cs="Times New Roman"/>
          <w:sz w:val="24"/>
          <w:szCs w:val="24"/>
        </w:rPr>
        <w:t xml:space="preserve"> </w:t>
      </w:r>
      <w:r w:rsidR="00167F36" w:rsidRPr="0028364C">
        <w:rPr>
          <w:rFonts w:ascii="Times New Roman" w:hAnsi="Times New Roman" w:cs="Times New Roman"/>
          <w:sz w:val="24"/>
          <w:szCs w:val="24"/>
        </w:rPr>
        <w:t>megfelelési mutató(k) jogszabályban előírt szint alatt marad,</w:t>
      </w:r>
    </w:p>
    <w:p w14:paraId="076FCF99" w14:textId="5BF2C298" w:rsidR="00167F36" w:rsidRPr="0028364C" w:rsidRDefault="00167F36" w:rsidP="00167F3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</w:t>
      </w:r>
      <w:r w:rsidR="00DD235E">
        <w:rPr>
          <w:rFonts w:ascii="Times New Roman" w:hAnsi="Times New Roman" w:cs="Times New Roman"/>
          <w:sz w:val="24"/>
          <w:szCs w:val="24"/>
        </w:rPr>
        <w:t>Bank</w:t>
      </w:r>
      <w:r w:rsidRPr="0028364C">
        <w:rPr>
          <w:rFonts w:ascii="Times New Roman" w:hAnsi="Times New Roman" w:cs="Times New Roman"/>
          <w:sz w:val="24"/>
          <w:szCs w:val="24"/>
        </w:rPr>
        <w:t xml:space="preserve"> tárgyévi eredménye veszteség (kivéve</w:t>
      </w:r>
      <w:r w:rsidR="004F3B84" w:rsidRPr="0028364C">
        <w:rPr>
          <w:rFonts w:ascii="Times New Roman" w:hAnsi="Times New Roman" w:cs="Times New Roman"/>
          <w:sz w:val="24"/>
          <w:szCs w:val="24"/>
        </w:rPr>
        <w:t>,</w:t>
      </w:r>
      <w:r w:rsidRPr="0028364C">
        <w:rPr>
          <w:rFonts w:ascii="Times New Roman" w:hAnsi="Times New Roman" w:cs="Times New Roman"/>
          <w:sz w:val="24"/>
          <w:szCs w:val="24"/>
        </w:rPr>
        <w:t xml:space="preserve"> ha a </w:t>
      </w:r>
      <w:r w:rsidR="00036684" w:rsidRPr="0028364C">
        <w:rPr>
          <w:rFonts w:ascii="Times New Roman" w:hAnsi="Times New Roman" w:cs="Times New Roman"/>
          <w:sz w:val="24"/>
          <w:szCs w:val="24"/>
        </w:rPr>
        <w:t xml:space="preserve">Duna </w:t>
      </w:r>
      <w:r w:rsidRPr="0028364C">
        <w:rPr>
          <w:rFonts w:ascii="Times New Roman" w:hAnsi="Times New Roman" w:cs="Times New Roman"/>
          <w:sz w:val="24"/>
          <w:szCs w:val="24"/>
        </w:rPr>
        <w:t>Takarék</w:t>
      </w:r>
      <w:r w:rsidR="00036684" w:rsidRPr="0028364C">
        <w:rPr>
          <w:rFonts w:ascii="Times New Roman" w:hAnsi="Times New Roman" w:cs="Times New Roman"/>
          <w:sz w:val="24"/>
          <w:szCs w:val="24"/>
        </w:rPr>
        <w:t xml:space="preserve"> B</w:t>
      </w:r>
      <w:r w:rsidRPr="0028364C">
        <w:rPr>
          <w:rFonts w:ascii="Times New Roman" w:hAnsi="Times New Roman" w:cs="Times New Roman"/>
          <w:sz w:val="24"/>
          <w:szCs w:val="24"/>
        </w:rPr>
        <w:t>ank Zrt. Igazgatósága ettől eltérő módon dönt),</w:t>
      </w:r>
    </w:p>
    <w:p w14:paraId="677BDA80" w14:textId="6C1964D5" w:rsidR="00167F36" w:rsidRPr="0028364C" w:rsidRDefault="00036684" w:rsidP="00167F36">
      <w:pPr>
        <w:numPr>
          <w:ilvl w:val="0"/>
          <w:numId w:val="14"/>
        </w:numPr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</w:t>
      </w:r>
      <w:r w:rsidR="00167F36" w:rsidRPr="0028364C">
        <w:rPr>
          <w:rFonts w:ascii="Times New Roman" w:hAnsi="Times New Roman" w:cs="Times New Roman"/>
          <w:sz w:val="24"/>
          <w:szCs w:val="24"/>
        </w:rPr>
        <w:t xml:space="preserve">személy magatartása a </w:t>
      </w:r>
      <w:r w:rsidR="00284108">
        <w:rPr>
          <w:rFonts w:ascii="Times New Roman" w:hAnsi="Times New Roman" w:cs="Times New Roman"/>
          <w:sz w:val="24"/>
          <w:szCs w:val="24"/>
        </w:rPr>
        <w:t>Bank</w:t>
      </w:r>
      <w:r w:rsidR="00284108" w:rsidRPr="0028364C">
        <w:rPr>
          <w:rFonts w:ascii="Times New Roman" w:hAnsi="Times New Roman" w:cs="Times New Roman"/>
          <w:sz w:val="24"/>
          <w:szCs w:val="24"/>
        </w:rPr>
        <w:t>nak</w:t>
      </w:r>
      <w:r w:rsidR="00167F36" w:rsidRPr="0028364C">
        <w:rPr>
          <w:rFonts w:ascii="Times New Roman" w:hAnsi="Times New Roman" w:cs="Times New Roman"/>
          <w:sz w:val="24"/>
          <w:szCs w:val="24"/>
        </w:rPr>
        <w:t xml:space="preserve"> veszteséget okozott.</w:t>
      </w:r>
    </w:p>
    <w:p w14:paraId="157A4A01" w14:textId="77777777" w:rsidR="00D467CF" w:rsidRPr="0028364C" w:rsidRDefault="00D526B4" w:rsidP="00901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Prémium juttatásának eszköze: 100% készpénz</w:t>
      </w:r>
    </w:p>
    <w:p w14:paraId="0F75B240" w14:textId="77777777" w:rsidR="009019E6" w:rsidRPr="0028364C" w:rsidRDefault="009019E6" w:rsidP="008A2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440955" w14:textId="77777777" w:rsidR="008A0781" w:rsidRPr="0028364C" w:rsidRDefault="008A0781" w:rsidP="00901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64C">
        <w:rPr>
          <w:rFonts w:ascii="Times New Roman" w:hAnsi="Times New Roman" w:cs="Times New Roman"/>
          <w:sz w:val="24"/>
          <w:szCs w:val="24"/>
          <w:u w:val="single"/>
        </w:rPr>
        <w:t>Célprémium</w:t>
      </w:r>
    </w:p>
    <w:p w14:paraId="1A26D1AE" w14:textId="77777777" w:rsidR="009019E6" w:rsidRPr="0028364C" w:rsidRDefault="009019E6" w:rsidP="00901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E46C4D8" w14:textId="77777777" w:rsidR="004870B4" w:rsidRPr="0028364C" w:rsidRDefault="008A0781" w:rsidP="00901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célprémium feltételek meghatározá</w:t>
      </w:r>
      <w:r w:rsidR="005D4540" w:rsidRPr="0028364C">
        <w:rPr>
          <w:rFonts w:ascii="Times New Roman" w:hAnsi="Times New Roman" w:cs="Times New Roman"/>
          <w:sz w:val="24"/>
          <w:szCs w:val="24"/>
        </w:rPr>
        <w:t xml:space="preserve">sa a munkáltató egyedi </w:t>
      </w:r>
      <w:r w:rsidRPr="0028364C">
        <w:rPr>
          <w:rFonts w:ascii="Times New Roman" w:hAnsi="Times New Roman" w:cs="Times New Roman"/>
          <w:sz w:val="24"/>
          <w:szCs w:val="24"/>
        </w:rPr>
        <w:t xml:space="preserve">döntése, a munkáltató nem köteles célprémium kitűzésére. </w:t>
      </w:r>
    </w:p>
    <w:p w14:paraId="5BFA7AFE" w14:textId="77777777" w:rsidR="00E134E5" w:rsidRPr="0028364C" w:rsidRDefault="00E134E5" w:rsidP="00901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Munkaszerződésben, egyéb megállapodásban célprémium javadalomra kötelezettség nem vállalható. Semmilyen teljesítményjavadalmazásra nem vállalható kötelezettség és nem képezheti részét a jövőbeli javadalmazási terveknek. A célprémium mértéke maximum az éves alapbér 50 %-a lehet.</w:t>
      </w:r>
    </w:p>
    <w:p w14:paraId="06B977CF" w14:textId="77777777" w:rsidR="009019E6" w:rsidRPr="0028364C" w:rsidRDefault="009019E6" w:rsidP="00C7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5EA3D" w14:textId="77777777" w:rsidR="009019E6" w:rsidRPr="0028364C" w:rsidRDefault="008A0781" w:rsidP="00901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Célprémiumra az a munkavállaló jogosult, aki az alábbi kritériumok mindegyikének megfelel:</w:t>
      </w:r>
    </w:p>
    <w:p w14:paraId="7367D5D0" w14:textId="77777777" w:rsidR="008A0781" w:rsidRPr="0028364C" w:rsidRDefault="006C5074" w:rsidP="009019E6">
      <w:pPr>
        <w:numPr>
          <w:ilvl w:val="0"/>
          <w:numId w:val="14"/>
        </w:numPr>
        <w:spacing w:before="100" w:beforeAutospacing="1" w:after="0" w:line="24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rendelkezik a</w:t>
      </w:r>
      <w:r w:rsidR="008A0781" w:rsidRPr="0028364C">
        <w:rPr>
          <w:rFonts w:ascii="Times New Roman" w:hAnsi="Times New Roman" w:cs="Times New Roman"/>
          <w:sz w:val="24"/>
          <w:szCs w:val="24"/>
        </w:rPr>
        <w:t xml:space="preserve">z adott évre </w:t>
      </w:r>
      <w:r w:rsidRPr="0028364C">
        <w:rPr>
          <w:rFonts w:ascii="Times New Roman" w:hAnsi="Times New Roman" w:cs="Times New Roman"/>
          <w:sz w:val="24"/>
          <w:szCs w:val="24"/>
        </w:rPr>
        <w:t>érvényes célkitűzéssel</w:t>
      </w:r>
      <w:r w:rsidR="008A0781" w:rsidRPr="0028364C">
        <w:rPr>
          <w:rFonts w:ascii="Times New Roman" w:hAnsi="Times New Roman" w:cs="Times New Roman"/>
          <w:sz w:val="24"/>
          <w:szCs w:val="24"/>
        </w:rPr>
        <w:t>,</w:t>
      </w:r>
    </w:p>
    <w:p w14:paraId="71827A7B" w14:textId="5AB62AD3" w:rsidR="008A0781" w:rsidRPr="0028364C" w:rsidRDefault="006C5074" w:rsidP="004870B4">
      <w:pPr>
        <w:numPr>
          <w:ilvl w:val="0"/>
          <w:numId w:val="14"/>
        </w:numPr>
        <w:spacing w:before="100" w:beforeAutospacing="1" w:after="0" w:line="24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</w:t>
      </w:r>
      <w:r w:rsidR="008A0781" w:rsidRPr="0028364C">
        <w:rPr>
          <w:rFonts w:ascii="Times New Roman" w:hAnsi="Times New Roman" w:cs="Times New Roman"/>
          <w:sz w:val="24"/>
          <w:szCs w:val="24"/>
        </w:rPr>
        <w:t>z értékelt időszaknak legalább a</w:t>
      </w:r>
      <w:r w:rsidR="00DD2064" w:rsidRPr="0028364C">
        <w:rPr>
          <w:rFonts w:ascii="Times New Roman" w:hAnsi="Times New Roman" w:cs="Times New Roman"/>
          <w:sz w:val="24"/>
          <w:szCs w:val="24"/>
        </w:rPr>
        <w:t>z</w:t>
      </w:r>
      <w:r w:rsidR="008A0781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Pr="0028364C">
        <w:rPr>
          <w:rFonts w:ascii="Times New Roman" w:hAnsi="Times New Roman" w:cs="Times New Roman"/>
          <w:sz w:val="24"/>
          <w:szCs w:val="24"/>
        </w:rPr>
        <w:t xml:space="preserve">50%-át </w:t>
      </w:r>
      <w:r w:rsidR="008A0781" w:rsidRPr="0028364C">
        <w:rPr>
          <w:rFonts w:ascii="Times New Roman" w:hAnsi="Times New Roman" w:cs="Times New Roman"/>
          <w:sz w:val="24"/>
          <w:szCs w:val="24"/>
        </w:rPr>
        <w:t>aktív munkaviszonyban (30 napot meghaladó tartós távollét pl. betegség, GYED, GYES, nem számít ak</w:t>
      </w:r>
      <w:r w:rsidR="00E134E5" w:rsidRPr="0028364C">
        <w:rPr>
          <w:rFonts w:ascii="Times New Roman" w:hAnsi="Times New Roman" w:cs="Times New Roman"/>
          <w:sz w:val="24"/>
          <w:szCs w:val="24"/>
        </w:rPr>
        <w:t>tív munkaviszonynak) töltötte</w:t>
      </w:r>
    </w:p>
    <w:p w14:paraId="6347919C" w14:textId="409F7168" w:rsidR="00185F47" w:rsidRPr="00582330" w:rsidRDefault="008A0781" w:rsidP="00582330">
      <w:pPr>
        <w:numPr>
          <w:ilvl w:val="0"/>
          <w:numId w:val="14"/>
        </w:numPr>
        <w:spacing w:after="120" w:line="24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kifizetés nap</w:t>
      </w:r>
      <w:r w:rsidR="00E134E5" w:rsidRPr="0028364C">
        <w:rPr>
          <w:rFonts w:ascii="Times New Roman" w:hAnsi="Times New Roman" w:cs="Times New Roman"/>
          <w:sz w:val="24"/>
          <w:szCs w:val="24"/>
        </w:rPr>
        <w:t xml:space="preserve">ján a </w:t>
      </w:r>
      <w:r w:rsidR="00D9642C">
        <w:rPr>
          <w:rFonts w:ascii="Times New Roman" w:hAnsi="Times New Roman" w:cs="Times New Roman"/>
          <w:sz w:val="24"/>
          <w:szCs w:val="24"/>
        </w:rPr>
        <w:t>Banknál</w:t>
      </w:r>
      <w:r w:rsidR="00D9642C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Pr="0028364C">
        <w:rPr>
          <w:rFonts w:ascii="Times New Roman" w:hAnsi="Times New Roman" w:cs="Times New Roman"/>
          <w:sz w:val="24"/>
          <w:szCs w:val="24"/>
        </w:rPr>
        <w:t>munkaviszonyban áll és nem áll felmondás alatt (azonnali hatályú, munkáltatói, vagy munkavállaló</w:t>
      </w:r>
      <w:r w:rsidR="006C5074" w:rsidRPr="0028364C">
        <w:rPr>
          <w:rFonts w:ascii="Times New Roman" w:hAnsi="Times New Roman" w:cs="Times New Roman"/>
          <w:sz w:val="24"/>
          <w:szCs w:val="24"/>
        </w:rPr>
        <w:t>i felmondás, közös megegyezés).</w:t>
      </w:r>
    </w:p>
    <w:p w14:paraId="0ACBF3B8" w14:textId="77777777" w:rsidR="00A5292E" w:rsidRPr="0028364C" w:rsidRDefault="008A0781" w:rsidP="009019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célprémium kifizetése készpénzben történik.</w:t>
      </w:r>
      <w:bookmarkStart w:id="22" w:name="_Toc462477614"/>
    </w:p>
    <w:p w14:paraId="4D518AC5" w14:textId="77777777" w:rsidR="008A0781" w:rsidRPr="0028364C" w:rsidRDefault="008A0781" w:rsidP="00901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64C">
        <w:rPr>
          <w:rFonts w:ascii="Times New Roman" w:hAnsi="Times New Roman" w:cs="Times New Roman"/>
          <w:sz w:val="24"/>
          <w:szCs w:val="24"/>
          <w:u w:val="single"/>
        </w:rPr>
        <w:t>Jutalom</w:t>
      </w:r>
      <w:bookmarkEnd w:id="22"/>
    </w:p>
    <w:p w14:paraId="4C4598DC" w14:textId="77777777" w:rsidR="00371669" w:rsidRPr="0028364C" w:rsidRDefault="00371669" w:rsidP="00901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6A3302" w14:textId="36988D31" w:rsidR="005C2A2F" w:rsidRPr="0028364C" w:rsidRDefault="008A0781" w:rsidP="005C2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Jutalom a kitűzött egyéni teljesítmény értékelése alapján, vagy a munkáltató diszkrecionális döntése szerint, a munka utólagos elismeréseként</w:t>
      </w:r>
      <w:r w:rsidR="005C2A2F" w:rsidRPr="0028364C">
        <w:rPr>
          <w:rFonts w:ascii="Times New Roman" w:hAnsi="Times New Roman" w:cs="Times New Roman"/>
          <w:sz w:val="24"/>
          <w:szCs w:val="24"/>
        </w:rPr>
        <w:t xml:space="preserve"> adható. </w:t>
      </w:r>
    </w:p>
    <w:p w14:paraId="2505FBFA" w14:textId="2B0CCEE7" w:rsidR="008A0781" w:rsidRPr="0028364C" w:rsidRDefault="008A0781" w:rsidP="00901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0674E" w14:textId="77777777" w:rsidR="00A5292E" w:rsidRPr="0028364C" w:rsidRDefault="008A0781" w:rsidP="009019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jutalom kifizetése készpénzben történik.</w:t>
      </w:r>
      <w:bookmarkStart w:id="23" w:name="_Toc462477615"/>
    </w:p>
    <w:p w14:paraId="76AA2AE3" w14:textId="77777777" w:rsidR="0059797D" w:rsidRDefault="0059797D" w:rsidP="00901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93C4577" w14:textId="77777777" w:rsidR="0059797D" w:rsidRDefault="0059797D" w:rsidP="00901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841E1F1" w14:textId="77777777" w:rsidR="0059797D" w:rsidRDefault="0059797D" w:rsidP="00901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28589D5" w14:textId="77777777" w:rsidR="0059797D" w:rsidRDefault="0059797D" w:rsidP="00901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A81219" w14:textId="77777777" w:rsidR="008A0781" w:rsidRPr="0028364C" w:rsidRDefault="008A0781" w:rsidP="00901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64C">
        <w:rPr>
          <w:rFonts w:ascii="Times New Roman" w:hAnsi="Times New Roman" w:cs="Times New Roman"/>
          <w:sz w:val="24"/>
          <w:szCs w:val="24"/>
          <w:u w:val="single"/>
        </w:rPr>
        <w:lastRenderedPageBreak/>
        <w:t>Jutalék</w:t>
      </w:r>
      <w:bookmarkEnd w:id="23"/>
    </w:p>
    <w:p w14:paraId="17CB1F2D" w14:textId="77777777" w:rsidR="00371669" w:rsidRPr="0028364C" w:rsidRDefault="00371669" w:rsidP="009019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BF4897F" w14:textId="5CC35867" w:rsidR="005A7570" w:rsidRDefault="00E134E5" w:rsidP="00DE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</w:t>
      </w:r>
      <w:r w:rsidR="00D9642C">
        <w:rPr>
          <w:rFonts w:ascii="Times New Roman" w:hAnsi="Times New Roman" w:cs="Times New Roman"/>
          <w:sz w:val="24"/>
          <w:szCs w:val="24"/>
        </w:rPr>
        <w:t>Bank</w:t>
      </w:r>
      <w:r w:rsidR="00D9642C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6C5074" w:rsidRPr="0028364C">
        <w:rPr>
          <w:rFonts w:ascii="Times New Roman" w:hAnsi="Times New Roman" w:cs="Times New Roman"/>
          <w:sz w:val="24"/>
          <w:szCs w:val="24"/>
        </w:rPr>
        <w:t xml:space="preserve">külön jutalékszabályzattal rendelkezik – </w:t>
      </w:r>
      <w:r w:rsidR="00954CB8" w:rsidRPr="0028364C">
        <w:rPr>
          <w:rFonts w:ascii="Times New Roman" w:hAnsi="Times New Roman" w:cs="Times New Roman"/>
          <w:b/>
          <w:sz w:val="24"/>
          <w:szCs w:val="24"/>
        </w:rPr>
        <w:t>Duna Kavics</w:t>
      </w:r>
      <w:r w:rsidR="00954CB8" w:rsidRPr="0028364C">
        <w:rPr>
          <w:rFonts w:ascii="Times New Roman" w:hAnsi="Times New Roman" w:cs="Times New Roman"/>
          <w:sz w:val="24"/>
          <w:szCs w:val="24"/>
        </w:rPr>
        <w:t xml:space="preserve"> egyéni érdekeltségi ösztönző rendszer </w:t>
      </w:r>
      <w:r w:rsidR="006C5074" w:rsidRPr="0028364C">
        <w:rPr>
          <w:rFonts w:ascii="Times New Roman" w:hAnsi="Times New Roman" w:cs="Times New Roman"/>
          <w:b/>
          <w:sz w:val="24"/>
          <w:szCs w:val="24"/>
        </w:rPr>
        <w:t>ügyvezetői utasítás</w:t>
      </w:r>
      <w:r w:rsidR="00D9642C">
        <w:rPr>
          <w:rFonts w:ascii="Times New Roman" w:hAnsi="Times New Roman" w:cs="Times New Roman"/>
          <w:sz w:val="24"/>
          <w:szCs w:val="24"/>
        </w:rPr>
        <w:t xml:space="preserve">, </w:t>
      </w:r>
      <w:r w:rsidR="006C5074" w:rsidRPr="0028364C">
        <w:rPr>
          <w:rFonts w:ascii="Times New Roman" w:hAnsi="Times New Roman" w:cs="Times New Roman"/>
          <w:sz w:val="24"/>
          <w:szCs w:val="24"/>
        </w:rPr>
        <w:t>mely elválaszthatatlan része a Javadalmazási Politikának</w:t>
      </w:r>
      <w:r w:rsidR="00812587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740E56" w:rsidRPr="0028364C">
        <w:rPr>
          <w:rFonts w:ascii="Times New Roman" w:hAnsi="Times New Roman" w:cs="Times New Roman"/>
          <w:b/>
          <w:sz w:val="24"/>
          <w:szCs w:val="24"/>
        </w:rPr>
        <w:t>(5</w:t>
      </w:r>
      <w:r w:rsidR="00812587" w:rsidRPr="0028364C">
        <w:rPr>
          <w:rFonts w:ascii="Times New Roman" w:hAnsi="Times New Roman" w:cs="Times New Roman"/>
          <w:b/>
          <w:sz w:val="24"/>
          <w:szCs w:val="24"/>
        </w:rPr>
        <w:t>. sz. melléklet)</w:t>
      </w:r>
      <w:r w:rsidR="006C5074" w:rsidRPr="002836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D48083" w14:textId="77777777" w:rsidR="00D9642C" w:rsidRPr="00DE606F" w:rsidRDefault="00D9642C" w:rsidP="00DE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9A012" w14:textId="0DE15C46" w:rsidR="00DA0B75" w:rsidRPr="0028364C" w:rsidRDefault="00DA0B75" w:rsidP="009019E6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24" w:name="_GoBack"/>
      <w:bookmarkEnd w:id="24"/>
      <w:r w:rsidRPr="0028364C">
        <w:rPr>
          <w:rFonts w:ascii="Times New Roman" w:hAnsi="Times New Roman" w:cs="Times New Roman"/>
          <w:b/>
          <w:sz w:val="24"/>
          <w:szCs w:val="24"/>
        </w:rPr>
        <w:t>Az alapjavadalmazás és a teljesítményjavadalmazás aránya</w:t>
      </w:r>
    </w:p>
    <w:p w14:paraId="704EB4EB" w14:textId="77777777" w:rsidR="00B5501F" w:rsidRPr="0028364C" w:rsidRDefault="00B5501F" w:rsidP="00DA0B7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67F882B" w14:textId="77777777" w:rsidR="00A5292E" w:rsidRPr="0028364C" w:rsidRDefault="00DA0B75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teljesítményjavadalmazás aránya a Javadalmazási Politika hatálya alá tartozó egyetlen személy esetén sem haladhatja meg az alapjavadalmazás 100%-át.</w:t>
      </w:r>
    </w:p>
    <w:p w14:paraId="3597A992" w14:textId="6AC33E1C" w:rsidR="00C007A9" w:rsidRDefault="00C007A9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Az egyes szerepkörökhöz kapcsolódó teljesítményjavadalmazás</w:t>
      </w:r>
      <w:r w:rsidR="00F40640">
        <w:rPr>
          <w:rFonts w:ascii="Times New Roman" w:hAnsi="Times New Roman" w:cs="Times New Roman"/>
          <w:sz w:val="24"/>
          <w:szCs w:val="24"/>
        </w:rPr>
        <w:t xml:space="preserve"> (prémium)</w:t>
      </w:r>
      <w:r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AE39B0" w:rsidRPr="0028364C">
        <w:rPr>
          <w:rFonts w:ascii="Times New Roman" w:hAnsi="Times New Roman" w:cs="Times New Roman"/>
          <w:sz w:val="24"/>
          <w:szCs w:val="24"/>
        </w:rPr>
        <w:t xml:space="preserve">maximális </w:t>
      </w:r>
      <w:r w:rsidRPr="0028364C">
        <w:rPr>
          <w:rFonts w:ascii="Times New Roman" w:hAnsi="Times New Roman" w:cs="Times New Roman"/>
          <w:sz w:val="24"/>
          <w:szCs w:val="24"/>
        </w:rPr>
        <w:t>aránya:</w:t>
      </w:r>
    </w:p>
    <w:p w14:paraId="3FCE835D" w14:textId="77777777" w:rsidR="00582330" w:rsidRPr="0028364C" w:rsidRDefault="00582330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51189D" w14:textId="77777777" w:rsidR="00C007A9" w:rsidRPr="0028364C" w:rsidRDefault="00C007A9" w:rsidP="00DA0B7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1418"/>
      </w:tblGrid>
      <w:tr w:rsidR="0077338A" w:rsidRPr="0028364C" w14:paraId="39333F54" w14:textId="77777777" w:rsidTr="00AE39B0">
        <w:trPr>
          <w:trHeight w:val="366"/>
          <w:jc w:val="center"/>
        </w:trPr>
        <w:tc>
          <w:tcPr>
            <w:tcW w:w="4961" w:type="dxa"/>
            <w:shd w:val="clear" w:color="auto" w:fill="BFBFBF" w:themeFill="background1" w:themeFillShade="BF"/>
          </w:tcPr>
          <w:p w14:paraId="4029F8F4" w14:textId="77777777" w:rsidR="00AE39B0" w:rsidRPr="0028364C" w:rsidRDefault="00AE39B0" w:rsidP="00AE39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4C">
              <w:rPr>
                <w:rFonts w:ascii="Times New Roman" w:hAnsi="Times New Roman" w:cs="Times New Roman"/>
                <w:b/>
                <w:sz w:val="24"/>
                <w:szCs w:val="24"/>
              </w:rPr>
              <w:t>Kategória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5409224" w14:textId="77777777" w:rsidR="00AE39B0" w:rsidRPr="0028364C" w:rsidRDefault="00AE39B0" w:rsidP="00AE39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4C">
              <w:rPr>
                <w:rFonts w:ascii="Times New Roman" w:hAnsi="Times New Roman" w:cs="Times New Roman"/>
                <w:b/>
                <w:sz w:val="24"/>
                <w:szCs w:val="24"/>
              </w:rPr>
              <w:t>Arány</w:t>
            </w:r>
          </w:p>
        </w:tc>
      </w:tr>
      <w:tr w:rsidR="0077338A" w:rsidRPr="0028364C" w14:paraId="7CAE264F" w14:textId="77777777" w:rsidTr="00AE39B0">
        <w:trPr>
          <w:jc w:val="center"/>
        </w:trPr>
        <w:tc>
          <w:tcPr>
            <w:tcW w:w="4961" w:type="dxa"/>
          </w:tcPr>
          <w:p w14:paraId="7E114198" w14:textId="77777777" w:rsidR="00AE39B0" w:rsidRPr="0028364C" w:rsidRDefault="00AE39B0" w:rsidP="00AE39B0">
            <w:pPr>
              <w:pStyle w:val="Listaszerbekezds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64C">
              <w:rPr>
                <w:rFonts w:ascii="Times New Roman" w:hAnsi="Times New Roman" w:cs="Times New Roman"/>
                <w:sz w:val="24"/>
                <w:szCs w:val="24"/>
              </w:rPr>
              <w:t>Vezető állású és vezető beosztású munkavállalók</w:t>
            </w:r>
          </w:p>
        </w:tc>
        <w:tc>
          <w:tcPr>
            <w:tcW w:w="1418" w:type="dxa"/>
          </w:tcPr>
          <w:p w14:paraId="770E5A61" w14:textId="77777777" w:rsidR="00AE39B0" w:rsidRPr="0028364C" w:rsidRDefault="00AE39B0" w:rsidP="00DA0B7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64C">
              <w:rPr>
                <w:rFonts w:ascii="Times New Roman" w:hAnsi="Times New Roman" w:cs="Times New Roman"/>
                <w:sz w:val="24"/>
                <w:szCs w:val="24"/>
              </w:rPr>
              <w:t>2/12-ed</w:t>
            </w:r>
          </w:p>
        </w:tc>
      </w:tr>
      <w:tr w:rsidR="0077338A" w:rsidRPr="0028364C" w14:paraId="7A609D63" w14:textId="77777777" w:rsidTr="00AE39B0">
        <w:trPr>
          <w:jc w:val="center"/>
        </w:trPr>
        <w:tc>
          <w:tcPr>
            <w:tcW w:w="4961" w:type="dxa"/>
          </w:tcPr>
          <w:p w14:paraId="40009445" w14:textId="54884EFB" w:rsidR="00AE39B0" w:rsidRPr="0028364C" w:rsidRDefault="00AE39B0" w:rsidP="00AE39B0">
            <w:pPr>
              <w:pStyle w:val="Listaszerbekezds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64C">
              <w:rPr>
                <w:rFonts w:ascii="Times New Roman" w:hAnsi="Times New Roman" w:cs="Times New Roman"/>
                <w:sz w:val="24"/>
                <w:szCs w:val="24"/>
              </w:rPr>
              <w:t>Értékesítést végző beosztott munkavállalók</w:t>
            </w:r>
            <w:r w:rsidR="00402A33">
              <w:rPr>
                <w:rFonts w:ascii="Times New Roman" w:hAnsi="Times New Roman" w:cs="Times New Roman"/>
                <w:sz w:val="24"/>
                <w:szCs w:val="24"/>
              </w:rPr>
              <w:t xml:space="preserve"> (Duna kavics rendszer hatálya alá tartozó munkavállalók)</w:t>
            </w:r>
          </w:p>
        </w:tc>
        <w:tc>
          <w:tcPr>
            <w:tcW w:w="1418" w:type="dxa"/>
          </w:tcPr>
          <w:p w14:paraId="7144E05F" w14:textId="77777777" w:rsidR="00AE39B0" w:rsidRPr="0028364C" w:rsidRDefault="0071441C" w:rsidP="00DA0B7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6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E39B0" w:rsidRPr="0028364C">
              <w:rPr>
                <w:rFonts w:ascii="Times New Roman" w:hAnsi="Times New Roman" w:cs="Times New Roman"/>
                <w:sz w:val="24"/>
                <w:szCs w:val="24"/>
              </w:rPr>
              <w:t>/12-ed</w:t>
            </w:r>
          </w:p>
        </w:tc>
      </w:tr>
      <w:tr w:rsidR="0077338A" w:rsidRPr="0028364C" w14:paraId="1105F4E0" w14:textId="77777777" w:rsidTr="00AE39B0">
        <w:trPr>
          <w:jc w:val="center"/>
        </w:trPr>
        <w:tc>
          <w:tcPr>
            <w:tcW w:w="4961" w:type="dxa"/>
          </w:tcPr>
          <w:p w14:paraId="6782C8FC" w14:textId="77777777" w:rsidR="00AE39B0" w:rsidRPr="0028364C" w:rsidRDefault="00AE39B0" w:rsidP="00AE39B0">
            <w:pPr>
              <w:pStyle w:val="Listaszerbekezds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64C">
              <w:rPr>
                <w:rFonts w:ascii="Times New Roman" w:hAnsi="Times New Roman" w:cs="Times New Roman"/>
                <w:sz w:val="24"/>
                <w:szCs w:val="24"/>
              </w:rPr>
              <w:t xml:space="preserve">Értékesítést </w:t>
            </w:r>
            <w:r w:rsidRPr="002836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nem</w:t>
            </w:r>
            <w:r w:rsidRPr="0028364C">
              <w:rPr>
                <w:rFonts w:ascii="Times New Roman" w:hAnsi="Times New Roman" w:cs="Times New Roman"/>
                <w:sz w:val="24"/>
                <w:szCs w:val="24"/>
              </w:rPr>
              <w:t xml:space="preserve"> végző beosztott munkavállalók</w:t>
            </w:r>
          </w:p>
        </w:tc>
        <w:tc>
          <w:tcPr>
            <w:tcW w:w="1418" w:type="dxa"/>
          </w:tcPr>
          <w:p w14:paraId="1F656CA7" w14:textId="77777777" w:rsidR="00AE39B0" w:rsidRPr="0028364C" w:rsidRDefault="00AE39B0" w:rsidP="00DA0B75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64C">
              <w:rPr>
                <w:rFonts w:ascii="Times New Roman" w:hAnsi="Times New Roman" w:cs="Times New Roman"/>
                <w:sz w:val="24"/>
                <w:szCs w:val="24"/>
              </w:rPr>
              <w:t>1/12-ed</w:t>
            </w:r>
          </w:p>
        </w:tc>
      </w:tr>
    </w:tbl>
    <w:p w14:paraId="2C8FDD50" w14:textId="77777777" w:rsidR="00E134E5" w:rsidRDefault="00E134E5" w:rsidP="009412DA">
      <w:pPr>
        <w:rPr>
          <w:rFonts w:ascii="Times New Roman" w:hAnsi="Times New Roman" w:cs="Times New Roman"/>
          <w:b/>
          <w:sz w:val="24"/>
          <w:szCs w:val="24"/>
        </w:rPr>
      </w:pPr>
    </w:p>
    <w:p w14:paraId="3FE3BBCF" w14:textId="6C266BC2" w:rsidR="004661E4" w:rsidRPr="00B40543" w:rsidRDefault="004661E4" w:rsidP="009412DA">
      <w:pPr>
        <w:rPr>
          <w:rFonts w:ascii="Times New Roman" w:hAnsi="Times New Roman" w:cs="Times New Roman"/>
          <w:sz w:val="24"/>
          <w:szCs w:val="24"/>
        </w:rPr>
      </w:pPr>
      <w:r w:rsidRPr="00B40543">
        <w:rPr>
          <w:rFonts w:ascii="Times New Roman" w:hAnsi="Times New Roman" w:cs="Times New Roman"/>
          <w:sz w:val="24"/>
          <w:szCs w:val="24"/>
        </w:rPr>
        <w:t>Fentiek alól kivételt jelentenek az egyéni teljesítmény alapján ösztönzött munkatársak,</w:t>
      </w:r>
      <w:r w:rsidR="00CD20A1">
        <w:rPr>
          <w:rFonts w:ascii="Times New Roman" w:hAnsi="Times New Roman" w:cs="Times New Roman"/>
          <w:sz w:val="24"/>
          <w:szCs w:val="24"/>
        </w:rPr>
        <w:t xml:space="preserve"> valamint</w:t>
      </w:r>
      <w:r w:rsidR="00A315BB">
        <w:rPr>
          <w:rFonts w:ascii="Times New Roman" w:hAnsi="Times New Roman" w:cs="Times New Roman"/>
          <w:sz w:val="24"/>
          <w:szCs w:val="24"/>
        </w:rPr>
        <w:t xml:space="preserve"> Ügyvezetői döntés alapján</w:t>
      </w:r>
      <w:r w:rsidR="00CD20A1">
        <w:rPr>
          <w:rFonts w:ascii="Times New Roman" w:hAnsi="Times New Roman" w:cs="Times New Roman"/>
          <w:sz w:val="24"/>
          <w:szCs w:val="24"/>
        </w:rPr>
        <w:t xml:space="preserve"> </w:t>
      </w:r>
      <w:r w:rsidR="00A315BB">
        <w:rPr>
          <w:rFonts w:ascii="Times New Roman" w:hAnsi="Times New Roman" w:cs="Times New Roman"/>
          <w:sz w:val="24"/>
          <w:szCs w:val="24"/>
        </w:rPr>
        <w:t xml:space="preserve">a prémiumom felül </w:t>
      </w:r>
      <w:r w:rsidR="00152A1E">
        <w:rPr>
          <w:rFonts w:ascii="Times New Roman" w:hAnsi="Times New Roman" w:cs="Times New Roman"/>
          <w:sz w:val="24"/>
          <w:szCs w:val="24"/>
        </w:rPr>
        <w:t xml:space="preserve">egyedi esetben </w:t>
      </w:r>
      <w:r w:rsidR="00A315BB">
        <w:rPr>
          <w:rFonts w:ascii="Times New Roman" w:hAnsi="Times New Roman" w:cs="Times New Roman"/>
          <w:sz w:val="24"/>
          <w:szCs w:val="24"/>
        </w:rPr>
        <w:t>teljesítményjavadalmazást kapó munkavállalók</w:t>
      </w:r>
      <w:r w:rsidR="000C0A50">
        <w:rPr>
          <w:rFonts w:ascii="Times New Roman" w:hAnsi="Times New Roman" w:cs="Times New Roman"/>
          <w:sz w:val="24"/>
          <w:szCs w:val="24"/>
        </w:rPr>
        <w:t>. Egyetlen munkavállaló esetében semhaladhatja meg</w:t>
      </w:r>
      <w:r w:rsidRPr="00B40543">
        <w:rPr>
          <w:rFonts w:ascii="Times New Roman" w:hAnsi="Times New Roman" w:cs="Times New Roman"/>
          <w:sz w:val="24"/>
          <w:szCs w:val="24"/>
        </w:rPr>
        <w:t xml:space="preserve"> a teljesítményjavadalmazás aránya  az alap</w:t>
      </w:r>
      <w:r w:rsidR="00CD20A1">
        <w:rPr>
          <w:rFonts w:ascii="Times New Roman" w:hAnsi="Times New Roman" w:cs="Times New Roman"/>
          <w:sz w:val="24"/>
          <w:szCs w:val="24"/>
        </w:rPr>
        <w:t xml:space="preserve"> </w:t>
      </w:r>
      <w:r w:rsidRPr="00B40543">
        <w:rPr>
          <w:rFonts w:ascii="Times New Roman" w:hAnsi="Times New Roman" w:cs="Times New Roman"/>
          <w:sz w:val="24"/>
          <w:szCs w:val="24"/>
        </w:rPr>
        <w:t>javadala</w:t>
      </w:r>
      <w:r>
        <w:rPr>
          <w:rFonts w:ascii="Times New Roman" w:hAnsi="Times New Roman" w:cs="Times New Roman"/>
          <w:sz w:val="24"/>
          <w:szCs w:val="24"/>
        </w:rPr>
        <w:t>mazás</w:t>
      </w:r>
      <w:r w:rsidRPr="00B40543">
        <w:rPr>
          <w:rFonts w:ascii="Times New Roman" w:hAnsi="Times New Roman" w:cs="Times New Roman"/>
          <w:sz w:val="24"/>
          <w:szCs w:val="24"/>
        </w:rPr>
        <w:t xml:space="preserve"> 100%-át</w:t>
      </w:r>
      <w:r w:rsidR="00945776" w:rsidRPr="00945776">
        <w:rPr>
          <w:rFonts w:ascii="Times New Roman" w:hAnsi="Times New Roman" w:cs="Times New Roman"/>
          <w:sz w:val="24"/>
          <w:szCs w:val="24"/>
        </w:rPr>
        <w:t xml:space="preserve"> (12/12</w:t>
      </w:r>
      <w:r w:rsidR="00945776">
        <w:rPr>
          <w:rFonts w:ascii="Times New Roman" w:hAnsi="Times New Roman" w:cs="Times New Roman"/>
          <w:sz w:val="24"/>
          <w:szCs w:val="24"/>
        </w:rPr>
        <w:t>-ed</w:t>
      </w:r>
      <w:r w:rsidR="00945776" w:rsidRPr="00945776">
        <w:rPr>
          <w:rFonts w:ascii="Times New Roman" w:hAnsi="Times New Roman" w:cs="Times New Roman"/>
          <w:sz w:val="24"/>
          <w:szCs w:val="24"/>
        </w:rPr>
        <w:t>)</w:t>
      </w:r>
    </w:p>
    <w:p w14:paraId="262A18C9" w14:textId="77777777" w:rsidR="0057437D" w:rsidRPr="0028364C" w:rsidRDefault="005E4C00" w:rsidP="009019E6">
      <w:pPr>
        <w:pStyle w:val="Listaszerbekezds"/>
        <w:numPr>
          <w:ilvl w:val="0"/>
          <w:numId w:val="1"/>
        </w:numPr>
        <w:spacing w:after="240"/>
        <w:ind w:left="284" w:hanging="284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5" w:name="_Toc75937752"/>
      <w:r w:rsidRPr="0028364C">
        <w:rPr>
          <w:rFonts w:ascii="Times New Roman" w:hAnsi="Times New Roman" w:cs="Times New Roman"/>
          <w:b/>
          <w:sz w:val="28"/>
          <w:szCs w:val="28"/>
        </w:rPr>
        <w:t>Teljesítményértékelés</w:t>
      </w:r>
      <w:r w:rsidR="004E45E9" w:rsidRPr="0028364C">
        <w:rPr>
          <w:rFonts w:ascii="Times New Roman" w:hAnsi="Times New Roman" w:cs="Times New Roman"/>
          <w:b/>
          <w:sz w:val="28"/>
          <w:szCs w:val="28"/>
        </w:rPr>
        <w:t>i és célkitűzési rendszer</w:t>
      </w:r>
      <w:bookmarkEnd w:id="25"/>
    </w:p>
    <w:p w14:paraId="38059EE0" w14:textId="77777777" w:rsidR="009019E6" w:rsidRPr="0028364C" w:rsidRDefault="009019E6" w:rsidP="009019E6">
      <w:pPr>
        <w:pStyle w:val="Listaszerbekezds"/>
        <w:spacing w:after="240"/>
        <w:ind w:left="284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AACD8A2" w14:textId="77777777" w:rsidR="007D0980" w:rsidRPr="0028364C" w:rsidRDefault="004E45E9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Az ösztönzési rendszer működésének alapja a személyi hatálya alá tartozó munkatársak éves teljesítményének, előre írásban meghatározott célok teljesítésének, felettes által, dokumentáltan elvégzett értékelése.</w:t>
      </w:r>
    </w:p>
    <w:p w14:paraId="63FF8FD9" w14:textId="77777777" w:rsidR="007D0980" w:rsidRPr="0028364C" w:rsidRDefault="007D0980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E63656" w14:textId="0E6E7593" w:rsidR="00BD3C62" w:rsidRPr="0028364C" w:rsidRDefault="00BD3C62" w:rsidP="009019E6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4C">
        <w:rPr>
          <w:rFonts w:ascii="Times New Roman" w:hAnsi="Times New Roman" w:cs="Times New Roman"/>
          <w:b/>
          <w:sz w:val="24"/>
          <w:szCs w:val="24"/>
          <w:u w:val="single"/>
        </w:rPr>
        <w:t>Célkitűzés</w:t>
      </w:r>
    </w:p>
    <w:p w14:paraId="088E955D" w14:textId="77777777" w:rsidR="00BD3C62" w:rsidRPr="0028364C" w:rsidRDefault="00BD3C62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77FAEF" w14:textId="251A009F" w:rsidR="00264B02" w:rsidRPr="0028364C" w:rsidRDefault="00264B02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teljesítmény értékelés</w:t>
      </w:r>
      <w:r w:rsidR="00EE3EC3" w:rsidRPr="0028364C">
        <w:rPr>
          <w:rFonts w:ascii="Times New Roman" w:hAnsi="Times New Roman" w:cs="Times New Roman"/>
          <w:sz w:val="24"/>
          <w:szCs w:val="24"/>
        </w:rPr>
        <w:t>i rendszer</w:t>
      </w:r>
      <w:r w:rsidRPr="0028364C">
        <w:rPr>
          <w:rFonts w:ascii="Times New Roman" w:hAnsi="Times New Roman" w:cs="Times New Roman"/>
          <w:sz w:val="24"/>
          <w:szCs w:val="24"/>
        </w:rPr>
        <w:t xml:space="preserve"> célkitűzéseit az első negyed évben kell elkészíteni, jóváhagyni és a munkavállalókkal megismertetni.</w:t>
      </w:r>
    </w:p>
    <w:p w14:paraId="2689BC2D" w14:textId="44C9543B" w:rsidR="00264B02" w:rsidRPr="0028364C" w:rsidRDefault="00264B02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A7FC42" w14:textId="2DEE0800" w:rsidR="00264B02" w:rsidRPr="0028364C" w:rsidRDefault="00264B02" w:rsidP="00264B02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Az ügyvezetők tekintetében a célkitűzés és az értékelés az Igazgatóság, a rendszer személyi hatálya alá tartozó többi munkatárs tekintetében pedig közvetlen felettes vezetője és az őt felügyelő ügyvezető feladata.</w:t>
      </w:r>
    </w:p>
    <w:p w14:paraId="1FB5BB8C" w14:textId="77777777" w:rsidR="00264B02" w:rsidRPr="0028364C" w:rsidRDefault="00264B02" w:rsidP="00264B02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1B0620" w14:textId="6938559A" w:rsidR="00264B02" w:rsidRPr="0028364C" w:rsidRDefault="00264B02" w:rsidP="00264B02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Az objektív célkitűzéseket az objektív mutatók alapján kell elkészíteni. A mutatókat </w:t>
      </w:r>
      <w:r w:rsidR="008E0E37" w:rsidRPr="0028364C">
        <w:rPr>
          <w:rFonts w:ascii="Times New Roman" w:hAnsi="Times New Roman" w:cs="Times New Roman"/>
          <w:sz w:val="24"/>
          <w:szCs w:val="24"/>
        </w:rPr>
        <w:t xml:space="preserve">február utolsó munkanapjáig </w:t>
      </w:r>
      <w:r w:rsidRPr="0028364C">
        <w:rPr>
          <w:rFonts w:ascii="Times New Roman" w:hAnsi="Times New Roman" w:cs="Times New Roman"/>
          <w:sz w:val="24"/>
          <w:szCs w:val="24"/>
        </w:rPr>
        <w:t>a Kontrolling és Tőkemenedzsment szakterület készíti el, melyet a HR Osztály terjeszt az ügyvezetés elé elfogadásra</w:t>
      </w:r>
      <w:r w:rsidR="00810040" w:rsidRPr="0028364C">
        <w:rPr>
          <w:rFonts w:ascii="Times New Roman" w:hAnsi="Times New Roman" w:cs="Times New Roman"/>
          <w:sz w:val="24"/>
          <w:szCs w:val="24"/>
        </w:rPr>
        <w:t xml:space="preserve"> a tárgyév márciusának 10. munkanapjáig</w:t>
      </w:r>
      <w:r w:rsidR="008E0E37" w:rsidRPr="0028364C">
        <w:rPr>
          <w:rFonts w:ascii="Times New Roman" w:hAnsi="Times New Roman" w:cs="Times New Roman"/>
          <w:sz w:val="24"/>
          <w:szCs w:val="24"/>
        </w:rPr>
        <w:t>.</w:t>
      </w:r>
      <w:r w:rsidR="004F3B84" w:rsidRPr="0028364C">
        <w:rPr>
          <w:rFonts w:ascii="Times New Roman" w:hAnsi="Times New Roman" w:cs="Times New Roman"/>
          <w:sz w:val="24"/>
          <w:szCs w:val="24"/>
        </w:rPr>
        <w:t xml:space="preserve"> Az ügyvezetés jóváhagyását követően az objektív mutatók mixét az Igazgatóságnak és a Felügyelő </w:t>
      </w:r>
      <w:r w:rsidR="004F3B84" w:rsidRPr="0028364C">
        <w:rPr>
          <w:rFonts w:ascii="Times New Roman" w:hAnsi="Times New Roman" w:cs="Times New Roman"/>
          <w:sz w:val="24"/>
          <w:szCs w:val="24"/>
        </w:rPr>
        <w:lastRenderedPageBreak/>
        <w:t xml:space="preserve">Bizottságnak egyaránt el kell fogadnia. Az elfogadtatást úgy kell intézni, hogy az a munkavállalók március végéig történő tájékoztatását lehetővé tegye. </w:t>
      </w:r>
    </w:p>
    <w:p w14:paraId="5F832AA1" w14:textId="77777777" w:rsidR="004F3B84" w:rsidRPr="0028364C" w:rsidRDefault="004F3B84" w:rsidP="00264B02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B1EBB6" w14:textId="4D7A7BDF" w:rsidR="00EE3EC3" w:rsidRPr="0028364C" w:rsidRDefault="00EE3EC3" w:rsidP="00264B02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szubjektív célkitűzések munkaköri feladatait az értékelést végző személy készíti el a tárgyév </w:t>
      </w:r>
      <w:r w:rsidR="00316DD6" w:rsidRPr="0028364C">
        <w:rPr>
          <w:rFonts w:ascii="Times New Roman" w:hAnsi="Times New Roman" w:cs="Times New Roman"/>
          <w:sz w:val="24"/>
          <w:szCs w:val="24"/>
        </w:rPr>
        <w:t>február hónapjának utolsó</w:t>
      </w:r>
      <w:r w:rsidR="00962A98" w:rsidRPr="0028364C">
        <w:rPr>
          <w:rFonts w:ascii="Times New Roman" w:hAnsi="Times New Roman" w:cs="Times New Roman"/>
          <w:sz w:val="24"/>
          <w:szCs w:val="24"/>
        </w:rPr>
        <w:t xml:space="preserve"> munka</w:t>
      </w:r>
      <w:r w:rsidRPr="0028364C">
        <w:rPr>
          <w:rFonts w:ascii="Times New Roman" w:hAnsi="Times New Roman" w:cs="Times New Roman"/>
          <w:sz w:val="24"/>
          <w:szCs w:val="24"/>
        </w:rPr>
        <w:t>napjáig.</w:t>
      </w:r>
    </w:p>
    <w:p w14:paraId="06DEE011" w14:textId="77777777" w:rsidR="00264B02" w:rsidRPr="0028364C" w:rsidRDefault="00264B02" w:rsidP="00264B02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4E653B" w14:textId="21082B42" w:rsidR="00264B02" w:rsidRPr="0028364C" w:rsidRDefault="00BD3C62" w:rsidP="00264B02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Az első negyed év végéig </w:t>
      </w:r>
      <w:r w:rsidR="00810040" w:rsidRPr="0028364C">
        <w:rPr>
          <w:rFonts w:ascii="Times New Roman" w:hAnsi="Times New Roman" w:cs="Times New Roman"/>
          <w:sz w:val="24"/>
          <w:szCs w:val="24"/>
        </w:rPr>
        <w:t xml:space="preserve">(március hó utolsó munkanapjáig) </w:t>
      </w:r>
      <w:r w:rsidR="00264B02" w:rsidRPr="0028364C">
        <w:rPr>
          <w:rFonts w:ascii="Times New Roman" w:hAnsi="Times New Roman" w:cs="Times New Roman"/>
          <w:sz w:val="24"/>
          <w:szCs w:val="24"/>
        </w:rPr>
        <w:t xml:space="preserve">a </w:t>
      </w:r>
      <w:r w:rsidRPr="0028364C">
        <w:rPr>
          <w:rFonts w:ascii="Times New Roman" w:hAnsi="Times New Roman" w:cs="Times New Roman"/>
          <w:sz w:val="24"/>
          <w:szCs w:val="24"/>
        </w:rPr>
        <w:t xml:space="preserve">tárgyévi </w:t>
      </w:r>
      <w:r w:rsidR="00264B02" w:rsidRPr="0028364C">
        <w:rPr>
          <w:rFonts w:ascii="Times New Roman" w:hAnsi="Times New Roman" w:cs="Times New Roman"/>
          <w:sz w:val="24"/>
          <w:szCs w:val="24"/>
        </w:rPr>
        <w:t>célkitűzések dolgozókkal történő ismertetése</w:t>
      </w:r>
      <w:r w:rsidR="004F3B84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443088">
        <w:rPr>
          <w:rFonts w:ascii="Times New Roman" w:hAnsi="Times New Roman" w:cs="Times New Roman"/>
          <w:sz w:val="24"/>
          <w:szCs w:val="24"/>
        </w:rPr>
        <w:t>az elektronikus TÉR rendszerben történik</w:t>
      </w:r>
      <w:r w:rsidR="00424CD8">
        <w:rPr>
          <w:rFonts w:ascii="Times New Roman" w:hAnsi="Times New Roman" w:cs="Times New Roman"/>
          <w:sz w:val="24"/>
          <w:szCs w:val="24"/>
        </w:rPr>
        <w:t xml:space="preserve"> úgy, hogy az értékelő lapok minden érintett számára </w:t>
      </w:r>
      <w:r w:rsidR="00E13012">
        <w:rPr>
          <w:rFonts w:ascii="Times New Roman" w:hAnsi="Times New Roman" w:cs="Times New Roman"/>
          <w:sz w:val="24"/>
          <w:szCs w:val="24"/>
        </w:rPr>
        <w:t>hozzáférhetőek.</w:t>
      </w:r>
    </w:p>
    <w:p w14:paraId="0BA41076" w14:textId="77777777" w:rsidR="00BD3C62" w:rsidRPr="0028364C" w:rsidRDefault="00BD3C62" w:rsidP="00264B02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0BB981" w14:textId="420B55A5" w:rsidR="00BD3C62" w:rsidRPr="0028364C" w:rsidRDefault="00BD3C62" w:rsidP="00264B02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4C">
        <w:rPr>
          <w:rFonts w:ascii="Times New Roman" w:hAnsi="Times New Roman" w:cs="Times New Roman"/>
          <w:b/>
          <w:sz w:val="24"/>
          <w:szCs w:val="24"/>
          <w:u w:val="single"/>
        </w:rPr>
        <w:t>Teljesítményértékelés</w:t>
      </w:r>
    </w:p>
    <w:p w14:paraId="1E050A30" w14:textId="6960E2BB" w:rsidR="0014188D" w:rsidRPr="0028364C" w:rsidRDefault="0014188D" w:rsidP="001418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teljesítményértékelés </w:t>
      </w:r>
      <w:r w:rsidR="00AD44FF">
        <w:rPr>
          <w:rFonts w:ascii="Times New Roman" w:hAnsi="Times New Roman" w:cs="Times New Roman"/>
          <w:sz w:val="24"/>
          <w:szCs w:val="24"/>
        </w:rPr>
        <w:t>szubjek</w:t>
      </w:r>
      <w:r w:rsidR="004D56D6">
        <w:rPr>
          <w:rFonts w:ascii="Times New Roman" w:hAnsi="Times New Roman" w:cs="Times New Roman"/>
          <w:sz w:val="24"/>
          <w:szCs w:val="24"/>
        </w:rPr>
        <w:t>t</w:t>
      </w:r>
      <w:r w:rsidR="00AD44FF">
        <w:rPr>
          <w:rFonts w:ascii="Times New Roman" w:hAnsi="Times New Roman" w:cs="Times New Roman"/>
          <w:sz w:val="24"/>
          <w:szCs w:val="24"/>
        </w:rPr>
        <w:t xml:space="preserve">ív szempontjainak </w:t>
      </w:r>
      <w:r w:rsidRPr="0028364C">
        <w:rPr>
          <w:rFonts w:ascii="Times New Roman" w:hAnsi="Times New Roman" w:cs="Times New Roman"/>
          <w:sz w:val="24"/>
          <w:szCs w:val="24"/>
        </w:rPr>
        <w:t>egyénenkénti</w:t>
      </w:r>
      <w:r w:rsidR="00E13012">
        <w:rPr>
          <w:rFonts w:ascii="Times New Roman" w:hAnsi="Times New Roman" w:cs="Times New Roman"/>
          <w:sz w:val="24"/>
          <w:szCs w:val="24"/>
        </w:rPr>
        <w:t xml:space="preserve"> </w:t>
      </w:r>
      <w:r w:rsidRPr="0028364C">
        <w:rPr>
          <w:rFonts w:ascii="Times New Roman" w:hAnsi="Times New Roman" w:cs="Times New Roman"/>
          <w:sz w:val="24"/>
          <w:szCs w:val="24"/>
        </w:rPr>
        <w:t xml:space="preserve"> közzététele</w:t>
      </w:r>
      <w:r w:rsidR="00343DC9" w:rsidRPr="0028364C">
        <w:rPr>
          <w:rFonts w:ascii="Times New Roman" w:hAnsi="Times New Roman" w:cs="Times New Roman"/>
          <w:sz w:val="24"/>
          <w:szCs w:val="24"/>
        </w:rPr>
        <w:t>,</w:t>
      </w:r>
      <w:r w:rsidR="00C758DA" w:rsidRPr="0028364C">
        <w:rPr>
          <w:rFonts w:ascii="Times New Roman" w:hAnsi="Times New Roman" w:cs="Times New Roman"/>
          <w:sz w:val="24"/>
          <w:szCs w:val="24"/>
        </w:rPr>
        <w:t xml:space="preserve"> a mérleg elfogadó közgyűlést megelőzően kell, hogy megtörténjen</w:t>
      </w:r>
      <w:r w:rsidR="00E13012">
        <w:rPr>
          <w:rFonts w:ascii="Times New Roman" w:hAnsi="Times New Roman" w:cs="Times New Roman"/>
          <w:sz w:val="24"/>
          <w:szCs w:val="24"/>
        </w:rPr>
        <w:t>.</w:t>
      </w:r>
      <w:r w:rsidR="00547B22" w:rsidRPr="0028364C">
        <w:rPr>
          <w:rFonts w:ascii="Times New Roman" w:hAnsi="Times New Roman" w:cs="Times New Roman"/>
          <w:sz w:val="24"/>
          <w:szCs w:val="24"/>
        </w:rPr>
        <w:t xml:space="preserve"> tárgyév márciusának utolsó munkana</w:t>
      </w:r>
      <w:r w:rsidR="00C95665">
        <w:rPr>
          <w:rFonts w:ascii="Times New Roman" w:hAnsi="Times New Roman" w:cs="Times New Roman"/>
          <w:sz w:val="24"/>
          <w:szCs w:val="24"/>
        </w:rPr>
        <w:t>p</w:t>
      </w:r>
      <w:r w:rsidR="00547B22" w:rsidRPr="0028364C">
        <w:rPr>
          <w:rFonts w:ascii="Times New Roman" w:hAnsi="Times New Roman" w:cs="Times New Roman"/>
          <w:sz w:val="24"/>
          <w:szCs w:val="24"/>
        </w:rPr>
        <w:t>jáig</w:t>
      </w:r>
      <w:r w:rsidR="00C758DA" w:rsidRPr="0028364C">
        <w:rPr>
          <w:rFonts w:ascii="Times New Roman" w:hAnsi="Times New Roman" w:cs="Times New Roman"/>
          <w:sz w:val="24"/>
          <w:szCs w:val="24"/>
        </w:rPr>
        <w:t xml:space="preserve">, </w:t>
      </w:r>
      <w:r w:rsidRPr="0028364C">
        <w:rPr>
          <w:rFonts w:ascii="Times New Roman" w:hAnsi="Times New Roman" w:cs="Times New Roman"/>
          <w:sz w:val="24"/>
          <w:szCs w:val="24"/>
        </w:rPr>
        <w:t>személyes elbeszélgetés keretében</w:t>
      </w:r>
      <w:r w:rsidR="00E13012">
        <w:rPr>
          <w:rFonts w:ascii="Times New Roman" w:hAnsi="Times New Roman" w:cs="Times New Roman"/>
          <w:sz w:val="24"/>
          <w:szCs w:val="24"/>
        </w:rPr>
        <w:t>.</w:t>
      </w:r>
    </w:p>
    <w:p w14:paraId="47E1766E" w14:textId="01A86135" w:rsidR="00BD3C62" w:rsidRPr="0028364C" w:rsidRDefault="00BD3C62" w:rsidP="00264B02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Az </w:t>
      </w:r>
      <w:r w:rsidR="00C758DA" w:rsidRPr="0028364C">
        <w:rPr>
          <w:rFonts w:ascii="Times New Roman" w:hAnsi="Times New Roman" w:cs="Times New Roman"/>
          <w:sz w:val="24"/>
          <w:szCs w:val="24"/>
        </w:rPr>
        <w:t xml:space="preserve">értékelés objektív mutatóinak kiszámítását, az előző évi számok, </w:t>
      </w:r>
      <w:r w:rsidRPr="0028364C">
        <w:rPr>
          <w:rFonts w:ascii="Times New Roman" w:hAnsi="Times New Roman" w:cs="Times New Roman"/>
          <w:sz w:val="24"/>
          <w:szCs w:val="24"/>
        </w:rPr>
        <w:t xml:space="preserve">első negyedév utolsó munkanapján </w:t>
      </w:r>
      <w:r w:rsidR="00C758DA" w:rsidRPr="0028364C">
        <w:rPr>
          <w:rFonts w:ascii="Times New Roman" w:hAnsi="Times New Roman" w:cs="Times New Roman"/>
          <w:sz w:val="24"/>
          <w:szCs w:val="24"/>
        </w:rPr>
        <w:t xml:space="preserve">ismert, </w:t>
      </w:r>
      <w:r w:rsidRPr="0028364C">
        <w:rPr>
          <w:rFonts w:ascii="Times New Roman" w:hAnsi="Times New Roman" w:cs="Times New Roman"/>
          <w:sz w:val="24"/>
          <w:szCs w:val="24"/>
        </w:rPr>
        <w:t xml:space="preserve">előzetes, nem auditált </w:t>
      </w:r>
      <w:r w:rsidR="00C758DA" w:rsidRPr="0028364C">
        <w:rPr>
          <w:rFonts w:ascii="Times New Roman" w:hAnsi="Times New Roman" w:cs="Times New Roman"/>
          <w:sz w:val="24"/>
          <w:szCs w:val="24"/>
        </w:rPr>
        <w:t>állapota</w:t>
      </w:r>
      <w:r w:rsidRPr="0028364C">
        <w:rPr>
          <w:rFonts w:ascii="Times New Roman" w:hAnsi="Times New Roman" w:cs="Times New Roman"/>
          <w:sz w:val="24"/>
          <w:szCs w:val="24"/>
        </w:rPr>
        <w:t xml:space="preserve"> alapján kell elvégezni</w:t>
      </w:r>
      <w:r w:rsidR="00547B22" w:rsidRPr="0028364C">
        <w:rPr>
          <w:rFonts w:ascii="Times New Roman" w:hAnsi="Times New Roman" w:cs="Times New Roman"/>
          <w:sz w:val="24"/>
          <w:szCs w:val="24"/>
        </w:rPr>
        <w:t xml:space="preserve"> a tárgyév áprilisának 15. munkanapjáig. A mutatók kiszámításának auditori kontrollja (független szakértői kontroll) április utolsó munkanapjáig kell</w:t>
      </w:r>
      <w:r w:rsidR="00251B47">
        <w:rPr>
          <w:rFonts w:ascii="Times New Roman" w:hAnsi="Times New Roman" w:cs="Times New Roman"/>
          <w:sz w:val="24"/>
          <w:szCs w:val="24"/>
        </w:rPr>
        <w:t>, hogy</w:t>
      </w:r>
      <w:r w:rsidR="00AD44FF">
        <w:rPr>
          <w:rFonts w:ascii="Times New Roman" w:hAnsi="Times New Roman" w:cs="Times New Roman"/>
          <w:sz w:val="24"/>
          <w:szCs w:val="24"/>
        </w:rPr>
        <w:t xml:space="preserve"> </w:t>
      </w:r>
      <w:r w:rsidR="00547B22" w:rsidRPr="0028364C">
        <w:rPr>
          <w:rFonts w:ascii="Times New Roman" w:hAnsi="Times New Roman" w:cs="Times New Roman"/>
          <w:sz w:val="24"/>
          <w:szCs w:val="24"/>
        </w:rPr>
        <w:t>megvalósuljon.</w:t>
      </w:r>
    </w:p>
    <w:p w14:paraId="36D00896" w14:textId="77777777" w:rsidR="00BD3C62" w:rsidRPr="0028364C" w:rsidRDefault="00BD3C62" w:rsidP="00264B02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EBE8AA" w14:textId="1947A381" w:rsidR="00B5501F" w:rsidRDefault="00922DF6" w:rsidP="0028364C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teljesítményértékelésen alapuló mozgó bér kifizethetőségéről </w:t>
      </w:r>
      <w:r w:rsidR="00277D8D" w:rsidRPr="0028364C">
        <w:rPr>
          <w:rFonts w:ascii="Times New Roman" w:hAnsi="Times New Roman" w:cs="Times New Roman"/>
          <w:sz w:val="24"/>
          <w:szCs w:val="24"/>
        </w:rPr>
        <w:t xml:space="preserve">az ügyvezetés javaslata alapján </w:t>
      </w:r>
      <w:r w:rsidRPr="0028364C">
        <w:rPr>
          <w:rFonts w:ascii="Times New Roman" w:hAnsi="Times New Roman" w:cs="Times New Roman"/>
          <w:sz w:val="24"/>
          <w:szCs w:val="24"/>
        </w:rPr>
        <w:t xml:space="preserve">a Bank Igazgatósága a Közgyűlést megelőző Felügyelő Bizottsággal összevont alapon tartott ülésén hoz határozatot, mely ülésen az Igazgatóság döntését a Felügyelő Bizottság véleményezi. A mozgó bér kifizetésére a Bank évi rendes Közgyűlését követő első havi bérszámfejtéssel kerül sor. </w:t>
      </w:r>
    </w:p>
    <w:p w14:paraId="3E7D20F4" w14:textId="49F82121" w:rsidR="009D2711" w:rsidRPr="00DE606F" w:rsidRDefault="00251B47" w:rsidP="00DE606F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10114D">
        <w:rPr>
          <w:rFonts w:ascii="Times New Roman" w:hAnsi="Times New Roman" w:cs="Times New Roman"/>
          <w:sz w:val="24"/>
          <w:szCs w:val="24"/>
        </w:rPr>
        <w:t>A bels</w:t>
      </w:r>
      <w:r w:rsidRPr="004B1D01">
        <w:rPr>
          <w:rFonts w:ascii="Times New Roman" w:hAnsi="Times New Roman" w:cs="Times New Roman" w:hint="eastAsia"/>
          <w:sz w:val="24"/>
          <w:szCs w:val="24"/>
        </w:rPr>
        <w:t>ő</w:t>
      </w:r>
      <w:r w:rsidRPr="0010114D">
        <w:rPr>
          <w:rFonts w:ascii="Times New Roman" w:hAnsi="Times New Roman" w:cs="Times New Roman"/>
          <w:sz w:val="24"/>
          <w:szCs w:val="24"/>
        </w:rPr>
        <w:t xml:space="preserve"> kontroll feladatk</w:t>
      </w:r>
      <w:r w:rsidRPr="0010114D">
        <w:rPr>
          <w:rFonts w:ascii="Times New Roman" w:hAnsi="Times New Roman" w:cs="Times New Roman" w:hint="eastAsia"/>
          <w:sz w:val="24"/>
          <w:szCs w:val="24"/>
        </w:rPr>
        <w:t>ö</w:t>
      </w:r>
      <w:r w:rsidRPr="0010114D">
        <w:rPr>
          <w:rFonts w:ascii="Times New Roman" w:hAnsi="Times New Roman" w:cs="Times New Roman"/>
          <w:sz w:val="24"/>
          <w:szCs w:val="24"/>
        </w:rPr>
        <w:t>rt ell</w:t>
      </w:r>
      <w:r w:rsidRPr="0010114D">
        <w:rPr>
          <w:rFonts w:ascii="Times New Roman" w:hAnsi="Times New Roman" w:cs="Times New Roman" w:hint="eastAsia"/>
          <w:sz w:val="24"/>
          <w:szCs w:val="24"/>
        </w:rPr>
        <w:t>á</w:t>
      </w:r>
      <w:r w:rsidRPr="0010114D">
        <w:rPr>
          <w:rFonts w:ascii="Times New Roman" w:hAnsi="Times New Roman" w:cs="Times New Roman"/>
          <w:sz w:val="24"/>
          <w:szCs w:val="24"/>
        </w:rPr>
        <w:t>t</w:t>
      </w:r>
      <w:r w:rsidRPr="0010114D">
        <w:rPr>
          <w:rFonts w:ascii="Times New Roman" w:hAnsi="Times New Roman" w:cs="Times New Roman" w:hint="eastAsia"/>
          <w:sz w:val="24"/>
          <w:szCs w:val="24"/>
        </w:rPr>
        <w:t>ó</w:t>
      </w:r>
      <w:r w:rsidRPr="0010114D">
        <w:rPr>
          <w:rFonts w:ascii="Times New Roman" w:hAnsi="Times New Roman" w:cs="Times New Roman"/>
          <w:sz w:val="24"/>
          <w:szCs w:val="24"/>
        </w:rPr>
        <w:t xml:space="preserve"> munkav</w:t>
      </w:r>
      <w:r w:rsidRPr="0010114D">
        <w:rPr>
          <w:rFonts w:ascii="Times New Roman" w:hAnsi="Times New Roman" w:cs="Times New Roman" w:hint="eastAsia"/>
          <w:sz w:val="24"/>
          <w:szCs w:val="24"/>
        </w:rPr>
        <w:t>á</w:t>
      </w:r>
      <w:r w:rsidRPr="0010114D">
        <w:rPr>
          <w:rFonts w:ascii="Times New Roman" w:hAnsi="Times New Roman" w:cs="Times New Roman"/>
          <w:sz w:val="24"/>
          <w:szCs w:val="24"/>
        </w:rPr>
        <w:t>llal</w:t>
      </w:r>
      <w:r w:rsidRPr="0010114D">
        <w:rPr>
          <w:rFonts w:ascii="Times New Roman" w:hAnsi="Times New Roman" w:cs="Times New Roman" w:hint="eastAsia"/>
          <w:sz w:val="24"/>
          <w:szCs w:val="24"/>
        </w:rPr>
        <w:t>ó</w:t>
      </w:r>
      <w:r w:rsidRPr="0010114D">
        <w:rPr>
          <w:rFonts w:ascii="Times New Roman" w:hAnsi="Times New Roman" w:cs="Times New Roman"/>
          <w:sz w:val="24"/>
          <w:szCs w:val="24"/>
        </w:rPr>
        <w:t>k (Belső Ellenőrzési Szakterület, Compliance Osztály, Kockázatkezelési és Workout Szakterület) javadalmaz</w:t>
      </w:r>
      <w:r w:rsidRPr="0010114D">
        <w:rPr>
          <w:rFonts w:ascii="Times New Roman" w:hAnsi="Times New Roman" w:cs="Times New Roman" w:hint="eastAsia"/>
          <w:sz w:val="24"/>
          <w:szCs w:val="24"/>
        </w:rPr>
        <w:t>á</w:t>
      </w:r>
      <w:r w:rsidRPr="0010114D">
        <w:rPr>
          <w:rFonts w:ascii="Times New Roman" w:hAnsi="Times New Roman" w:cs="Times New Roman"/>
          <w:sz w:val="24"/>
          <w:szCs w:val="24"/>
        </w:rPr>
        <w:t>s</w:t>
      </w:r>
      <w:r w:rsidRPr="0010114D">
        <w:rPr>
          <w:rFonts w:ascii="Times New Roman" w:hAnsi="Times New Roman" w:cs="Times New Roman" w:hint="eastAsia"/>
          <w:sz w:val="24"/>
          <w:szCs w:val="24"/>
        </w:rPr>
        <w:t>á</w:t>
      </w:r>
      <w:r w:rsidRPr="0010114D">
        <w:rPr>
          <w:rFonts w:ascii="Times New Roman" w:hAnsi="Times New Roman" w:cs="Times New Roman"/>
          <w:sz w:val="24"/>
          <w:szCs w:val="24"/>
        </w:rPr>
        <w:t>t a Fel</w:t>
      </w:r>
      <w:r w:rsidRPr="0010114D">
        <w:rPr>
          <w:rFonts w:ascii="Times New Roman" w:hAnsi="Times New Roman" w:cs="Times New Roman" w:hint="eastAsia"/>
          <w:sz w:val="24"/>
          <w:szCs w:val="24"/>
        </w:rPr>
        <w:t>ü</w:t>
      </w:r>
      <w:r w:rsidRPr="0010114D">
        <w:rPr>
          <w:rFonts w:ascii="Times New Roman" w:hAnsi="Times New Roman" w:cs="Times New Roman"/>
          <w:sz w:val="24"/>
          <w:szCs w:val="24"/>
        </w:rPr>
        <w:t>gyel</w:t>
      </w:r>
      <w:r w:rsidRPr="0010114D">
        <w:rPr>
          <w:rFonts w:ascii="Times New Roman" w:hAnsi="Times New Roman" w:cs="Times New Roman" w:hint="eastAsia"/>
          <w:sz w:val="24"/>
          <w:szCs w:val="24"/>
        </w:rPr>
        <w:t>ő</w:t>
      </w:r>
      <w:r w:rsidRPr="0010114D">
        <w:rPr>
          <w:rFonts w:ascii="Times New Roman" w:hAnsi="Times New Roman" w:cs="Times New Roman"/>
          <w:sz w:val="24"/>
          <w:szCs w:val="24"/>
        </w:rPr>
        <w:t xml:space="preserve"> Bizotts</w:t>
      </w:r>
      <w:r w:rsidRPr="0010114D">
        <w:rPr>
          <w:rFonts w:ascii="Times New Roman" w:hAnsi="Times New Roman" w:cs="Times New Roman" w:hint="eastAsia"/>
          <w:sz w:val="24"/>
          <w:szCs w:val="24"/>
        </w:rPr>
        <w:t>á</w:t>
      </w:r>
      <w:r w:rsidRPr="0010114D">
        <w:rPr>
          <w:rFonts w:ascii="Times New Roman" w:hAnsi="Times New Roman" w:cs="Times New Roman"/>
          <w:sz w:val="24"/>
          <w:szCs w:val="24"/>
        </w:rPr>
        <w:t>g fel</w:t>
      </w:r>
      <w:r w:rsidRPr="0010114D">
        <w:rPr>
          <w:rFonts w:ascii="Times New Roman" w:hAnsi="Times New Roman" w:cs="Times New Roman" w:hint="eastAsia"/>
          <w:sz w:val="24"/>
          <w:szCs w:val="24"/>
        </w:rPr>
        <w:t>ü</w:t>
      </w:r>
      <w:r w:rsidRPr="0010114D">
        <w:rPr>
          <w:rFonts w:ascii="Times New Roman" w:hAnsi="Times New Roman" w:cs="Times New Roman"/>
          <w:sz w:val="24"/>
          <w:szCs w:val="24"/>
        </w:rPr>
        <w:t>gyeli.</w:t>
      </w:r>
    </w:p>
    <w:p w14:paraId="7F4975E8" w14:textId="77777777" w:rsidR="00B5501F" w:rsidRPr="0028364C" w:rsidRDefault="00EA66C9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64C">
        <w:rPr>
          <w:rFonts w:ascii="Times New Roman" w:hAnsi="Times New Roman" w:cs="Times New Roman"/>
          <w:sz w:val="24"/>
          <w:szCs w:val="24"/>
          <w:u w:val="single"/>
        </w:rPr>
        <w:t>A vezetői</w:t>
      </w:r>
      <w:r w:rsidR="00B5501F" w:rsidRPr="0028364C">
        <w:rPr>
          <w:rFonts w:ascii="Times New Roman" w:hAnsi="Times New Roman" w:cs="Times New Roman"/>
          <w:sz w:val="24"/>
          <w:szCs w:val="24"/>
          <w:u w:val="single"/>
        </w:rPr>
        <w:t xml:space="preserve"> ösztönzési rendszer elemei:</w:t>
      </w:r>
    </w:p>
    <w:p w14:paraId="403D2F4E" w14:textId="77777777" w:rsidR="00371669" w:rsidRPr="0028364C" w:rsidRDefault="00371669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B26571" w14:textId="0EE9135B" w:rsidR="009E41C7" w:rsidRPr="0028364C" w:rsidRDefault="004E45E9" w:rsidP="009E41C7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Az ösztönzési rendszer alapelvei szerint az egyéni ösztönzési lapok</w:t>
      </w:r>
      <w:r w:rsidR="00071EC4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071EC4" w:rsidRPr="0028364C">
        <w:rPr>
          <w:rFonts w:ascii="Times New Roman" w:hAnsi="Times New Roman" w:cs="Times New Roman"/>
          <w:i/>
          <w:sz w:val="24"/>
          <w:szCs w:val="24"/>
        </w:rPr>
        <w:t>(jelen szabályzat 4.sz. melléklete)</w:t>
      </w:r>
      <w:r w:rsidRPr="0028364C">
        <w:rPr>
          <w:rFonts w:ascii="Times New Roman" w:hAnsi="Times New Roman" w:cs="Times New Roman"/>
          <w:sz w:val="24"/>
          <w:szCs w:val="24"/>
        </w:rPr>
        <w:t xml:space="preserve"> a rendszer hatálya alá tartozó személyek vonatkozásában banki</w:t>
      </w:r>
      <w:r w:rsidR="00E65AA9" w:rsidRPr="0028364C">
        <w:rPr>
          <w:rFonts w:ascii="Times New Roman" w:hAnsi="Times New Roman" w:cs="Times New Roman"/>
          <w:sz w:val="24"/>
          <w:szCs w:val="24"/>
        </w:rPr>
        <w:t xml:space="preserve"> és szervezeti egység</w:t>
      </w:r>
      <w:r w:rsidRPr="0028364C">
        <w:rPr>
          <w:rFonts w:ascii="Times New Roman" w:hAnsi="Times New Roman" w:cs="Times New Roman"/>
          <w:sz w:val="24"/>
          <w:szCs w:val="24"/>
        </w:rPr>
        <w:t xml:space="preserve"> szubjektív, egyéni szubjektív, illetve banki</w:t>
      </w:r>
      <w:r w:rsidR="00E65AA9" w:rsidRPr="0028364C">
        <w:rPr>
          <w:rFonts w:ascii="Times New Roman" w:hAnsi="Times New Roman" w:cs="Times New Roman"/>
          <w:sz w:val="24"/>
          <w:szCs w:val="24"/>
        </w:rPr>
        <w:t xml:space="preserve"> és szervezeti egység</w:t>
      </w:r>
      <w:r w:rsidRPr="0028364C">
        <w:rPr>
          <w:rFonts w:ascii="Times New Roman" w:hAnsi="Times New Roman" w:cs="Times New Roman"/>
          <w:sz w:val="24"/>
          <w:szCs w:val="24"/>
        </w:rPr>
        <w:t xml:space="preserve"> és egyéni objektív szempontokat tartalmaznak. A rendszer Banki </w:t>
      </w:r>
      <w:r w:rsidR="007D35FC" w:rsidRPr="0028364C">
        <w:rPr>
          <w:rFonts w:ascii="Times New Roman" w:hAnsi="Times New Roman" w:cs="Times New Roman"/>
          <w:sz w:val="24"/>
          <w:szCs w:val="24"/>
        </w:rPr>
        <w:t xml:space="preserve">és egyéni </w:t>
      </w:r>
      <w:r w:rsidRPr="0028364C">
        <w:rPr>
          <w:rFonts w:ascii="Times New Roman" w:hAnsi="Times New Roman" w:cs="Times New Roman"/>
          <w:sz w:val="24"/>
          <w:szCs w:val="24"/>
        </w:rPr>
        <w:t>szinten objektív</w:t>
      </w:r>
      <w:r w:rsidR="007D35FC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5E7603" w:rsidRPr="0028364C">
        <w:rPr>
          <w:rFonts w:ascii="Times New Roman" w:hAnsi="Times New Roman" w:cs="Times New Roman"/>
          <w:sz w:val="24"/>
          <w:szCs w:val="24"/>
        </w:rPr>
        <w:t>és szubjektív elemeken nyugszik. Az ügyvezetők esetén az értékelés kizárólag objektív szempontok alapján történik, az esetükben az objektív szempontok alapján elérhető maximális pontszám 900. Az értékesítést végző munkavállalók</w:t>
      </w:r>
      <w:r w:rsidR="009E41C7">
        <w:rPr>
          <w:rFonts w:ascii="Times New Roman" w:hAnsi="Times New Roman" w:cs="Times New Roman"/>
          <w:sz w:val="24"/>
          <w:szCs w:val="24"/>
        </w:rPr>
        <w:t xml:space="preserve"> </w:t>
      </w:r>
      <w:r w:rsidR="009E41C7" w:rsidRPr="0028364C">
        <w:rPr>
          <w:rFonts w:ascii="Times New Roman" w:hAnsi="Times New Roman" w:cs="Times New Roman"/>
          <w:sz w:val="24"/>
          <w:szCs w:val="24"/>
        </w:rPr>
        <w:t xml:space="preserve">esetében a mozgó bér kifizetése </w:t>
      </w:r>
      <w:r w:rsidR="009E41C7">
        <w:rPr>
          <w:rFonts w:ascii="Times New Roman" w:hAnsi="Times New Roman" w:cs="Times New Roman"/>
          <w:sz w:val="24"/>
          <w:szCs w:val="24"/>
        </w:rPr>
        <w:t xml:space="preserve">a Bank Duna kavics jutalék rendszere </w:t>
      </w:r>
      <w:r w:rsidR="009E41C7" w:rsidRPr="0028364C">
        <w:rPr>
          <w:rFonts w:ascii="Times New Roman" w:hAnsi="Times New Roman" w:cs="Times New Roman"/>
          <w:sz w:val="24"/>
          <w:szCs w:val="24"/>
        </w:rPr>
        <w:t>alapján történik, esetükben a szubjektív és szervezeti szempontok (900 pontos maximum) alapján elvégzett minősítés csak tájékoztató jellegű.</w:t>
      </w:r>
    </w:p>
    <w:p w14:paraId="064C9E14" w14:textId="011B3F5F" w:rsidR="004E45E9" w:rsidRPr="0028364C" w:rsidRDefault="005E7603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9E41C7">
        <w:rPr>
          <w:rFonts w:ascii="Times New Roman" w:hAnsi="Times New Roman" w:cs="Times New Roman"/>
          <w:sz w:val="24"/>
          <w:szCs w:val="24"/>
        </w:rPr>
        <w:t>Az</w:t>
      </w:r>
      <w:r w:rsidR="00F42EAB" w:rsidRPr="0028364C">
        <w:rPr>
          <w:rFonts w:ascii="Times New Roman" w:hAnsi="Times New Roman" w:cs="Times New Roman"/>
          <w:sz w:val="24"/>
          <w:szCs w:val="24"/>
        </w:rPr>
        <w:t xml:space="preserve"> egyéni teljesítmény alapján ösztönzött munkatársak</w:t>
      </w:r>
      <w:r w:rsidR="00334554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414A53" w:rsidRPr="0028364C">
        <w:rPr>
          <w:rFonts w:ascii="Times New Roman" w:hAnsi="Times New Roman" w:cs="Times New Roman"/>
          <w:sz w:val="24"/>
          <w:szCs w:val="24"/>
        </w:rPr>
        <w:t xml:space="preserve">esetében a mozgó bér </w:t>
      </w:r>
      <w:r w:rsidRPr="0028364C">
        <w:rPr>
          <w:rFonts w:ascii="Times New Roman" w:hAnsi="Times New Roman" w:cs="Times New Roman"/>
          <w:sz w:val="24"/>
          <w:szCs w:val="24"/>
        </w:rPr>
        <w:t>kifizetése a személyükre meghatározott objektív célkitűzések alapján történik, esetükben a szubjektív és szervezeti szempontok</w:t>
      </w:r>
      <w:r w:rsidR="007F18D9" w:rsidRPr="0028364C">
        <w:rPr>
          <w:rFonts w:ascii="Times New Roman" w:hAnsi="Times New Roman" w:cs="Times New Roman"/>
          <w:sz w:val="24"/>
          <w:szCs w:val="24"/>
        </w:rPr>
        <w:t xml:space="preserve"> (900 pontos maximum)</w:t>
      </w:r>
      <w:r w:rsidRPr="0028364C">
        <w:rPr>
          <w:rFonts w:ascii="Times New Roman" w:hAnsi="Times New Roman" w:cs="Times New Roman"/>
          <w:sz w:val="24"/>
          <w:szCs w:val="24"/>
        </w:rPr>
        <w:t xml:space="preserve"> alapján elvégzett minősítés csak tájékoztató jellegű.</w:t>
      </w:r>
    </w:p>
    <w:p w14:paraId="44591778" w14:textId="77777777" w:rsidR="005E7603" w:rsidRPr="0028364C" w:rsidRDefault="005E7603" w:rsidP="004E45E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28E624E5" w14:textId="097498B3" w:rsidR="00B5501F" w:rsidRPr="0028364C" w:rsidRDefault="004E45E9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lastRenderedPageBreak/>
        <w:t xml:space="preserve">A szubjektív szempontokon belül minden értékelt esetében 14 egyéni szempont kerül meghatározásra, elsősorban a munkaköri leírásokban szereplő feladatok alapján. Az értékelési alapelvek figyelembe veszik a Javadalmazási Politikában meghatározott arányokat az objektív és a szubjektív értékelési szempontok között. Ennek megfelelően </w:t>
      </w:r>
      <w:r w:rsidR="00AC1A16" w:rsidRPr="0028364C">
        <w:rPr>
          <w:rFonts w:ascii="Times New Roman" w:hAnsi="Times New Roman" w:cs="Times New Roman"/>
          <w:sz w:val="24"/>
          <w:szCs w:val="24"/>
        </w:rPr>
        <w:t>banki és egyéni</w:t>
      </w:r>
      <w:r w:rsidRPr="0028364C">
        <w:rPr>
          <w:rFonts w:ascii="Times New Roman" w:hAnsi="Times New Roman" w:cs="Times New Roman"/>
          <w:sz w:val="24"/>
          <w:szCs w:val="24"/>
        </w:rPr>
        <w:t xml:space="preserve"> szubjektív értékeléssel 300</w:t>
      </w:r>
      <w:r w:rsidR="00AC1A16" w:rsidRPr="0028364C">
        <w:rPr>
          <w:rFonts w:ascii="Times New Roman" w:hAnsi="Times New Roman" w:cs="Times New Roman"/>
          <w:sz w:val="24"/>
          <w:szCs w:val="24"/>
        </w:rPr>
        <w:t xml:space="preserve"> pont</w:t>
      </w:r>
      <w:r w:rsidRPr="0028364C">
        <w:rPr>
          <w:rFonts w:ascii="Times New Roman" w:hAnsi="Times New Roman" w:cs="Times New Roman"/>
          <w:sz w:val="24"/>
          <w:szCs w:val="24"/>
        </w:rPr>
        <w:t>, a</w:t>
      </w:r>
      <w:r w:rsidR="00AC1A16" w:rsidRPr="0028364C">
        <w:rPr>
          <w:rFonts w:ascii="Times New Roman" w:hAnsi="Times New Roman" w:cs="Times New Roman"/>
          <w:sz w:val="24"/>
          <w:szCs w:val="24"/>
        </w:rPr>
        <w:t xml:space="preserve"> banki</w:t>
      </w:r>
      <w:r w:rsidR="00414A53" w:rsidRPr="0028364C">
        <w:rPr>
          <w:rFonts w:ascii="Times New Roman" w:hAnsi="Times New Roman" w:cs="Times New Roman"/>
          <w:sz w:val="24"/>
          <w:szCs w:val="24"/>
        </w:rPr>
        <w:t xml:space="preserve"> objektívvel </w:t>
      </w:r>
      <w:r w:rsidRPr="0028364C">
        <w:rPr>
          <w:rFonts w:ascii="Times New Roman" w:hAnsi="Times New Roman" w:cs="Times New Roman"/>
          <w:sz w:val="24"/>
          <w:szCs w:val="24"/>
        </w:rPr>
        <w:t>900 pont</w:t>
      </w:r>
      <w:r w:rsidR="007D35FC" w:rsidRPr="0028364C">
        <w:rPr>
          <w:rFonts w:ascii="Times New Roman" w:hAnsi="Times New Roman" w:cs="Times New Roman"/>
          <w:sz w:val="24"/>
          <w:szCs w:val="24"/>
        </w:rPr>
        <w:t xml:space="preserve">, szervezeti szubjektív és objektívvel pedig 300 pont, összesen 1500 pont </w:t>
      </w:r>
      <w:r w:rsidRPr="0028364C">
        <w:rPr>
          <w:rFonts w:ascii="Times New Roman" w:hAnsi="Times New Roman" w:cs="Times New Roman"/>
          <w:sz w:val="24"/>
          <w:szCs w:val="24"/>
        </w:rPr>
        <w:t>érhető el</w:t>
      </w:r>
      <w:r w:rsidR="007F18D9" w:rsidRPr="0028364C">
        <w:rPr>
          <w:rFonts w:ascii="Times New Roman" w:hAnsi="Times New Roman" w:cs="Times New Roman"/>
          <w:sz w:val="24"/>
          <w:szCs w:val="24"/>
        </w:rPr>
        <w:t>.</w:t>
      </w:r>
    </w:p>
    <w:p w14:paraId="202237EA" w14:textId="77777777" w:rsidR="00EA66C9" w:rsidRPr="0028364C" w:rsidRDefault="00EA66C9" w:rsidP="00EA66C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5BC7D3DD" w14:textId="29A23C70" w:rsidR="004E45E9" w:rsidRPr="0028364C" w:rsidRDefault="004E45E9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teljesítmény alapú javadalmazást az értékesítést végző munkatársak részére a Dunakavics rendszer, vezető</w:t>
      </w:r>
      <w:r w:rsidR="005C2A2F" w:rsidRPr="0028364C">
        <w:rPr>
          <w:rFonts w:ascii="Times New Roman" w:hAnsi="Times New Roman" w:cs="Times New Roman"/>
          <w:sz w:val="24"/>
          <w:szCs w:val="24"/>
        </w:rPr>
        <w:t xml:space="preserve"> állású és vezető beosztású munkatársa</w:t>
      </w:r>
      <w:r w:rsidRPr="0028364C">
        <w:rPr>
          <w:rFonts w:ascii="Times New Roman" w:hAnsi="Times New Roman" w:cs="Times New Roman"/>
          <w:sz w:val="24"/>
          <w:szCs w:val="24"/>
        </w:rPr>
        <w:t>k</w:t>
      </w:r>
      <w:r w:rsidR="005C2A2F" w:rsidRPr="0028364C">
        <w:rPr>
          <w:rFonts w:ascii="Times New Roman" w:hAnsi="Times New Roman" w:cs="Times New Roman"/>
          <w:sz w:val="24"/>
          <w:szCs w:val="24"/>
        </w:rPr>
        <w:t>, valamint értékesítést nem végző</w:t>
      </w:r>
      <w:r w:rsidR="007373B5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5C2A2F" w:rsidRPr="0028364C">
        <w:rPr>
          <w:rFonts w:ascii="Times New Roman" w:hAnsi="Times New Roman" w:cs="Times New Roman"/>
          <w:sz w:val="24"/>
          <w:szCs w:val="24"/>
        </w:rPr>
        <w:t xml:space="preserve">munkatársak </w:t>
      </w:r>
      <w:r w:rsidRPr="0028364C">
        <w:rPr>
          <w:rFonts w:ascii="Times New Roman" w:hAnsi="Times New Roman" w:cs="Times New Roman"/>
          <w:sz w:val="24"/>
          <w:szCs w:val="24"/>
        </w:rPr>
        <w:t>részére a fent leírt</w:t>
      </w:r>
      <w:r w:rsidR="00EA66C9" w:rsidRPr="0028364C">
        <w:rPr>
          <w:rFonts w:ascii="Times New Roman" w:hAnsi="Times New Roman" w:cs="Times New Roman"/>
          <w:sz w:val="24"/>
          <w:szCs w:val="24"/>
        </w:rPr>
        <w:t xml:space="preserve"> (részletesen a 3. számú mellékletben részletezett)</w:t>
      </w:r>
      <w:r w:rsidRPr="0028364C">
        <w:rPr>
          <w:rFonts w:ascii="Times New Roman" w:hAnsi="Times New Roman" w:cs="Times New Roman"/>
          <w:sz w:val="24"/>
          <w:szCs w:val="24"/>
        </w:rPr>
        <w:t xml:space="preserve"> ösztönzési rendszer hivatott biztosítani. </w:t>
      </w:r>
    </w:p>
    <w:p w14:paraId="5FA985AE" w14:textId="6334DE5B" w:rsidR="009D2711" w:rsidRDefault="004E45E9" w:rsidP="009019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vezetői ösztönzési rendszer egyéni teljesítményértékeléshez kötött, évente egyszer megvalósuló, a Bank mérlegelfogadó közgyűlését követő bérfizetéssel egy időben történő pénzbeli juttatás formájában valósul meg. </w:t>
      </w:r>
    </w:p>
    <w:p w14:paraId="71731577" w14:textId="670B6D11" w:rsidR="00096884" w:rsidRPr="0028364C" w:rsidRDefault="00096884" w:rsidP="009019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vezetői ösztönzési rendszerben használt objektív mutatókat és azok számítási alapját képező értékhatárokat a 7. számú melléklet tartalmazza.</w:t>
      </w:r>
    </w:p>
    <w:p w14:paraId="525CF37E" w14:textId="66363AC0" w:rsidR="009D4F31" w:rsidRPr="0028364C" w:rsidRDefault="009D4F31" w:rsidP="009019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</w:t>
      </w:r>
      <w:r w:rsidR="003E01E4">
        <w:rPr>
          <w:rFonts w:ascii="Times New Roman" w:hAnsi="Times New Roman" w:cs="Times New Roman"/>
          <w:sz w:val="24"/>
          <w:szCs w:val="24"/>
        </w:rPr>
        <w:t>Bank</w:t>
      </w:r>
      <w:r w:rsidRPr="0028364C">
        <w:rPr>
          <w:rFonts w:ascii="Times New Roman" w:hAnsi="Times New Roman" w:cs="Times New Roman"/>
          <w:sz w:val="24"/>
          <w:szCs w:val="24"/>
        </w:rPr>
        <w:t xml:space="preserve"> saját teljesítményértékelési és ösztönzési rendszert dolgozhat ki, de az minden esetben meg kell hogy feleljen a Javadalmazási Politikában meghatározott elveknek és szabályoknak. </w:t>
      </w:r>
    </w:p>
    <w:p w14:paraId="52F6102C" w14:textId="15AA4644" w:rsidR="005E4C00" w:rsidRPr="003D2C42" w:rsidRDefault="005E4C00" w:rsidP="009019E6">
      <w:pPr>
        <w:pStyle w:val="Listaszerbekezds"/>
        <w:numPr>
          <w:ilvl w:val="0"/>
          <w:numId w:val="1"/>
        </w:numPr>
        <w:ind w:left="284" w:hanging="284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6" w:name="_Toc75937753"/>
      <w:r w:rsidRPr="00C2566C">
        <w:rPr>
          <w:rFonts w:ascii="Times New Roman" w:hAnsi="Times New Roman" w:cs="Times New Roman"/>
          <w:b/>
          <w:sz w:val="28"/>
          <w:szCs w:val="28"/>
        </w:rPr>
        <w:t>Visszakövetelési szabályok</w:t>
      </w:r>
      <w:r w:rsidR="002C71C3" w:rsidRPr="00B40543">
        <w:rPr>
          <w:rFonts w:ascii="Times New Roman" w:hAnsi="Times New Roman" w:cs="Times New Roman"/>
          <w:b/>
          <w:sz w:val="28"/>
          <w:szCs w:val="28"/>
        </w:rPr>
        <w:t xml:space="preserve"> és a halasztott kifizetés</w:t>
      </w:r>
      <w:bookmarkEnd w:id="26"/>
    </w:p>
    <w:p w14:paraId="44D75B4D" w14:textId="77777777" w:rsidR="001519C5" w:rsidRPr="0028364C" w:rsidRDefault="001519C5" w:rsidP="00E94C1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7F61A55D" w14:textId="4A5F5728" w:rsidR="00CE53CB" w:rsidRPr="0028364C" w:rsidRDefault="00D063FE" w:rsidP="00794ED2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Ha a hitelintézet pénzügyi teljesítménye a belső szabályzatban meghatározottak szerinti mértékben azért romlik, mert az adott vezető állású személy, munkavállaló túlzott kockázatot vállalt, a vezető állású személy, munkavállaló kifizetendő teljesítményjavadalmazását csökkenteni kell.</w:t>
      </w:r>
      <w:r w:rsidR="002932E2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CE53CB" w:rsidRPr="0028364C">
        <w:rPr>
          <w:rFonts w:ascii="Times New Roman" w:hAnsi="Times New Roman" w:cs="Times New Roman"/>
          <w:sz w:val="24"/>
          <w:szCs w:val="24"/>
        </w:rPr>
        <w:t xml:space="preserve">A </w:t>
      </w:r>
      <w:r w:rsidR="00847291" w:rsidRPr="0028364C">
        <w:rPr>
          <w:rFonts w:ascii="Times New Roman" w:hAnsi="Times New Roman" w:cs="Times New Roman"/>
          <w:sz w:val="24"/>
          <w:szCs w:val="24"/>
        </w:rPr>
        <w:t xml:space="preserve">munkavállaló részére teljesített </w:t>
      </w:r>
      <w:r w:rsidR="00CE53CB" w:rsidRPr="0028364C">
        <w:rPr>
          <w:rFonts w:ascii="Times New Roman" w:hAnsi="Times New Roman" w:cs="Times New Roman"/>
          <w:sz w:val="24"/>
          <w:szCs w:val="24"/>
        </w:rPr>
        <w:t xml:space="preserve">teljesítményjavadalmazás </w:t>
      </w:r>
      <w:r w:rsidR="00EE0142" w:rsidRPr="0028364C">
        <w:rPr>
          <w:rFonts w:ascii="Times New Roman" w:hAnsi="Times New Roman" w:cs="Times New Roman"/>
          <w:sz w:val="24"/>
          <w:szCs w:val="24"/>
        </w:rPr>
        <w:t xml:space="preserve">részben vagy teljes mértékben </w:t>
      </w:r>
      <w:r w:rsidR="00CE53CB" w:rsidRPr="0028364C">
        <w:rPr>
          <w:rFonts w:ascii="Times New Roman" w:hAnsi="Times New Roman" w:cs="Times New Roman"/>
          <w:sz w:val="24"/>
          <w:szCs w:val="24"/>
        </w:rPr>
        <w:t xml:space="preserve">csökkenthető </w:t>
      </w:r>
      <w:r w:rsidR="00061C87" w:rsidRPr="0028364C">
        <w:rPr>
          <w:rFonts w:ascii="Times New Roman" w:hAnsi="Times New Roman" w:cs="Times New Roman"/>
          <w:sz w:val="24"/>
          <w:szCs w:val="24"/>
        </w:rPr>
        <w:t>és/</w:t>
      </w:r>
      <w:r w:rsidR="00CE53CB" w:rsidRPr="0028364C">
        <w:rPr>
          <w:rFonts w:ascii="Times New Roman" w:hAnsi="Times New Roman" w:cs="Times New Roman"/>
          <w:sz w:val="24"/>
          <w:szCs w:val="24"/>
        </w:rPr>
        <w:t xml:space="preserve">vagy </w:t>
      </w:r>
      <w:r w:rsidR="00847291" w:rsidRPr="0028364C">
        <w:rPr>
          <w:rFonts w:ascii="Times New Roman" w:hAnsi="Times New Roman" w:cs="Times New Roman"/>
          <w:sz w:val="24"/>
          <w:szCs w:val="24"/>
        </w:rPr>
        <w:t xml:space="preserve">az értékelt és az azt megelőző két üzleti év tekintetében </w:t>
      </w:r>
      <w:r w:rsidR="00CE53CB" w:rsidRPr="0028364C">
        <w:rPr>
          <w:rFonts w:ascii="Times New Roman" w:hAnsi="Times New Roman" w:cs="Times New Roman"/>
          <w:sz w:val="24"/>
          <w:szCs w:val="24"/>
        </w:rPr>
        <w:t>visszakövetelhe</w:t>
      </w:r>
      <w:r w:rsidR="00E134E5" w:rsidRPr="0028364C">
        <w:rPr>
          <w:rFonts w:ascii="Times New Roman" w:hAnsi="Times New Roman" w:cs="Times New Roman"/>
          <w:sz w:val="24"/>
          <w:szCs w:val="24"/>
        </w:rPr>
        <w:t>tő, amennyiben a teljesítményér</w:t>
      </w:r>
      <w:r w:rsidR="00CE53CB" w:rsidRPr="0028364C">
        <w:rPr>
          <w:rFonts w:ascii="Times New Roman" w:hAnsi="Times New Roman" w:cs="Times New Roman"/>
          <w:sz w:val="24"/>
          <w:szCs w:val="24"/>
        </w:rPr>
        <w:t>t</w:t>
      </w:r>
      <w:r w:rsidR="00E134E5" w:rsidRPr="0028364C">
        <w:rPr>
          <w:rFonts w:ascii="Times New Roman" w:hAnsi="Times New Roman" w:cs="Times New Roman"/>
          <w:sz w:val="24"/>
          <w:szCs w:val="24"/>
        </w:rPr>
        <w:t>é</w:t>
      </w:r>
      <w:r w:rsidR="00CE53CB" w:rsidRPr="0028364C">
        <w:rPr>
          <w:rFonts w:ascii="Times New Roman" w:hAnsi="Times New Roman" w:cs="Times New Roman"/>
          <w:sz w:val="24"/>
          <w:szCs w:val="24"/>
        </w:rPr>
        <w:t>kelés</w:t>
      </w:r>
      <w:r w:rsidR="00EE0142" w:rsidRPr="0028364C">
        <w:rPr>
          <w:rFonts w:ascii="Times New Roman" w:hAnsi="Times New Roman" w:cs="Times New Roman"/>
          <w:sz w:val="24"/>
          <w:szCs w:val="24"/>
        </w:rPr>
        <w:t xml:space="preserve"> során kiderül, hogy </w:t>
      </w:r>
      <w:r w:rsidR="00847291" w:rsidRPr="0028364C">
        <w:rPr>
          <w:rFonts w:ascii="Times New Roman" w:hAnsi="Times New Roman" w:cs="Times New Roman"/>
          <w:sz w:val="24"/>
          <w:szCs w:val="24"/>
        </w:rPr>
        <w:t xml:space="preserve">az említett időszakban </w:t>
      </w:r>
      <w:r w:rsidR="00EE0142" w:rsidRPr="0028364C">
        <w:rPr>
          <w:rFonts w:ascii="Times New Roman" w:hAnsi="Times New Roman" w:cs="Times New Roman"/>
          <w:sz w:val="24"/>
          <w:szCs w:val="24"/>
        </w:rPr>
        <w:t>az adott munkatárs:</w:t>
      </w:r>
    </w:p>
    <w:p w14:paraId="6011E1A9" w14:textId="77777777" w:rsidR="00EE29F0" w:rsidRPr="0028364C" w:rsidRDefault="00EE29F0" w:rsidP="00794ED2">
      <w:pPr>
        <w:numPr>
          <w:ilvl w:val="0"/>
          <w:numId w:val="14"/>
        </w:numPr>
        <w:spacing w:before="100" w:beforeAutospacing="1" w:after="0" w:line="24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részese vagy felelőse volt olyan gyakorlatnak, amely a hitelintézet számára jelentős</w:t>
      </w:r>
      <w:r w:rsidR="00504BB5" w:rsidRPr="0028364C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28364C">
        <w:rPr>
          <w:rFonts w:ascii="Times New Roman" w:hAnsi="Times New Roman" w:cs="Times New Roman"/>
          <w:sz w:val="24"/>
          <w:szCs w:val="24"/>
        </w:rPr>
        <w:t xml:space="preserve"> veszteséget okozott vagy</w:t>
      </w:r>
    </w:p>
    <w:p w14:paraId="290AFA6B" w14:textId="77777777" w:rsidR="00E94C1D" w:rsidRPr="0028364C" w:rsidRDefault="00E94C1D" w:rsidP="00E94C1D">
      <w:pPr>
        <w:numPr>
          <w:ilvl w:val="0"/>
          <w:numId w:val="14"/>
        </w:numPr>
        <w:spacing w:before="100" w:beforeAutospacing="1" w:after="0" w:line="24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súlyos szabályszegést követett el vagy</w:t>
      </w:r>
    </w:p>
    <w:p w14:paraId="2535B589" w14:textId="77777777" w:rsidR="00EE29F0" w:rsidRPr="0028364C" w:rsidRDefault="00EE29F0" w:rsidP="00E94C1D">
      <w:pPr>
        <w:numPr>
          <w:ilvl w:val="0"/>
          <w:numId w:val="14"/>
        </w:numPr>
        <w:spacing w:before="100" w:beforeAutospacing="1" w:after="0" w:line="24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pénzügyi teljesítmény azért romlott, mert túlzott kockázatot vállalt vagy</w:t>
      </w:r>
    </w:p>
    <w:p w14:paraId="18821A5F" w14:textId="77777777" w:rsidR="00EE29F0" w:rsidRPr="0028364C" w:rsidRDefault="00EE29F0" w:rsidP="00E94C1D">
      <w:pPr>
        <w:numPr>
          <w:ilvl w:val="0"/>
          <w:numId w:val="14"/>
        </w:numPr>
        <w:spacing w:before="100" w:beforeAutospacing="1" w:after="0" w:line="24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csalás, vagy más szándékos vagy súlyosan g</w:t>
      </w:r>
      <w:r w:rsidR="00E94C1D" w:rsidRPr="0028364C">
        <w:rPr>
          <w:rFonts w:ascii="Times New Roman" w:hAnsi="Times New Roman" w:cs="Times New Roman"/>
          <w:sz w:val="24"/>
          <w:szCs w:val="24"/>
        </w:rPr>
        <w:t>ondatlan magatartást tanúsított vagy</w:t>
      </w:r>
    </w:p>
    <w:p w14:paraId="523A5A92" w14:textId="7C1146BB" w:rsidR="00E94C1D" w:rsidRPr="0028364C" w:rsidRDefault="00E94C1D" w:rsidP="00E94C1D">
      <w:pPr>
        <w:numPr>
          <w:ilvl w:val="0"/>
          <w:numId w:val="14"/>
        </w:numPr>
        <w:spacing w:before="100" w:beforeAutospacing="1" w:after="0" w:line="24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munkaviszonya </w:t>
      </w:r>
      <w:r w:rsidR="0065186A" w:rsidRPr="0028364C">
        <w:rPr>
          <w:rFonts w:ascii="Times New Roman" w:hAnsi="Times New Roman" w:cs="Times New Roman"/>
          <w:sz w:val="24"/>
          <w:szCs w:val="24"/>
        </w:rPr>
        <w:t>a</w:t>
      </w:r>
      <w:r w:rsidRPr="0028364C">
        <w:rPr>
          <w:rFonts w:ascii="Times New Roman" w:hAnsi="Times New Roman" w:cs="Times New Roman"/>
          <w:sz w:val="24"/>
          <w:szCs w:val="24"/>
        </w:rPr>
        <w:t xml:space="preserve"> magatartásával (súlyos kötelezettségszegésével) indokolt azonnali hatályú felmondással kerül megszűntetésre</w:t>
      </w:r>
    </w:p>
    <w:p w14:paraId="23B16563" w14:textId="77777777" w:rsidR="00847291" w:rsidRPr="0028364C" w:rsidRDefault="00847291" w:rsidP="009019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Azonosított személyek esetében, az értékelt és az azt megelőző két üzleti év tekintetében teljesítendő és már nyújtott teljesítmény javadalmazás akkor is megtagadható és visszakövetelhető,</w:t>
      </w:r>
    </w:p>
    <w:p w14:paraId="678B5257" w14:textId="77777777" w:rsidR="00352E20" w:rsidRPr="0028364C" w:rsidRDefault="00847291" w:rsidP="00C73AAE">
      <w:pPr>
        <w:pStyle w:val="Listaszerbekezds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lastRenderedPageBreak/>
        <w:t xml:space="preserve">ha a Bankkal szemben a felügyeleti hatóság (MNB) </w:t>
      </w:r>
      <w:r w:rsidR="00352E20" w:rsidRPr="0028364C">
        <w:rPr>
          <w:rFonts w:ascii="Times New Roman" w:hAnsi="Times New Roman" w:cs="Times New Roman"/>
          <w:sz w:val="24"/>
          <w:szCs w:val="24"/>
        </w:rPr>
        <w:t>az értékelt és az azt megelőző bár</w:t>
      </w:r>
      <w:r w:rsidRPr="0028364C">
        <w:rPr>
          <w:rFonts w:ascii="Times New Roman" w:hAnsi="Times New Roman" w:cs="Times New Roman"/>
          <w:sz w:val="24"/>
          <w:szCs w:val="24"/>
        </w:rPr>
        <w:t>melyik év</w:t>
      </w:r>
      <w:r w:rsidR="00352E20" w:rsidRPr="0028364C">
        <w:rPr>
          <w:rFonts w:ascii="Times New Roman" w:hAnsi="Times New Roman" w:cs="Times New Roman"/>
          <w:sz w:val="24"/>
          <w:szCs w:val="24"/>
        </w:rPr>
        <w:t xml:space="preserve"> működése tekinteté</w:t>
      </w:r>
      <w:r w:rsidRPr="0028364C">
        <w:rPr>
          <w:rFonts w:ascii="Times New Roman" w:hAnsi="Times New Roman" w:cs="Times New Roman"/>
          <w:sz w:val="24"/>
          <w:szCs w:val="24"/>
        </w:rPr>
        <w:t>ben 60 millió Ft-ot meghaladó bírságot szab ki, és/vagy</w:t>
      </w:r>
    </w:p>
    <w:p w14:paraId="66E2C977" w14:textId="77777777" w:rsidR="00352E20" w:rsidRPr="0028364C" w:rsidRDefault="00352E20" w:rsidP="00C73AAE">
      <w:pPr>
        <w:pStyle w:val="Listaszerbekezds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felügyeleti hatóság (MNB), a Bankkal szemben a</w:t>
      </w:r>
      <w:r w:rsidRPr="0028364C">
        <w:rPr>
          <w:rFonts w:ascii="Times New Roman" w:eastAsiaTheme="minorHAnsi" w:hAnsi="Times New Roman" w:cs="Times New Roman"/>
          <w:sz w:val="24"/>
          <w:szCs w:val="24"/>
        </w:rPr>
        <w:t xml:space="preserve"> hitelintézetekről és a pénzügyi vállalkozásokról szóló 2013. évi CCXXXVII. évi törvény (Hpt.) 189. paragrafusában felsorolt bármely kivételes intézkedés meghozatalára kényszerül </w:t>
      </w:r>
    </w:p>
    <w:p w14:paraId="2557CFB8" w14:textId="77777777" w:rsidR="00352E20" w:rsidRPr="0028364C" w:rsidRDefault="00352E20" w:rsidP="009019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Az azonosított személyek tekintetében, az előző két bekezdésben felsorolt okok bármelyikének bekövetkezése esetén az értékelt és az azt megelőző két üzleti év után kifizetett teljesítmény javadalmazás együttes összege követelhető vissza.</w:t>
      </w:r>
    </w:p>
    <w:p w14:paraId="34C8987E" w14:textId="08652ADC" w:rsidR="00504BB5" w:rsidRPr="0028364C" w:rsidRDefault="00504BB5" w:rsidP="009019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Teljesítmény javadalmazás visszakövetelésére a </w:t>
      </w:r>
      <w:r w:rsidRPr="0028364C">
        <w:rPr>
          <w:rFonts w:ascii="Times New Roman" w:hAnsi="Times New Roman" w:cs="Times New Roman"/>
          <w:b/>
          <w:sz w:val="24"/>
          <w:szCs w:val="24"/>
        </w:rPr>
        <w:t>visszakövetelési időszakban</w:t>
      </w:r>
      <w:r w:rsidRPr="0028364C">
        <w:rPr>
          <w:rFonts w:ascii="Times New Roman" w:hAnsi="Times New Roman" w:cs="Times New Roman"/>
          <w:sz w:val="24"/>
          <w:szCs w:val="24"/>
        </w:rPr>
        <w:t xml:space="preserve"> van lehetősége a Bank arra illetékes testületének. Visszakövetelési időszaknak minősül az értékelt és az az</w:t>
      </w:r>
      <w:r w:rsidR="00B3777F" w:rsidRPr="0028364C">
        <w:rPr>
          <w:rFonts w:ascii="Times New Roman" w:hAnsi="Times New Roman" w:cs="Times New Roman"/>
          <w:sz w:val="24"/>
          <w:szCs w:val="24"/>
        </w:rPr>
        <w:t>t</w:t>
      </w:r>
      <w:r w:rsidRPr="0028364C">
        <w:rPr>
          <w:rFonts w:ascii="Times New Roman" w:hAnsi="Times New Roman" w:cs="Times New Roman"/>
          <w:sz w:val="24"/>
          <w:szCs w:val="24"/>
        </w:rPr>
        <w:t xml:space="preserve"> megelőző két üzleti év.  </w:t>
      </w:r>
    </w:p>
    <w:p w14:paraId="19676AC6" w14:textId="77777777" w:rsidR="009019E6" w:rsidRPr="0028364C" w:rsidRDefault="00EE29F0" w:rsidP="009019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munkáltató a munkavállaló munkaviszonnyal összefüggő tartozásainak megtérítésére irányuló igényét írásbeli felszólítással érvényesítheti. A felszólításban meg kell határozni a visszakövetelés jogalapját, a visszafizetendő összeget, a befizetés határnapját és módját, tájékoztatni kell a munkavállalót a jogorvoslat módjáról és határidejéről is. A munkáltató nem köteles élni a fizetési felszólítás lehetőségével, hanem igényét keresettel (fizetési me</w:t>
      </w:r>
      <w:r w:rsidR="000F40FC" w:rsidRPr="0028364C">
        <w:rPr>
          <w:rFonts w:ascii="Times New Roman" w:hAnsi="Times New Roman" w:cs="Times New Roman"/>
          <w:sz w:val="24"/>
          <w:szCs w:val="24"/>
        </w:rPr>
        <w:t xml:space="preserve">ghagyással is) érvényesítheti. </w:t>
      </w:r>
    </w:p>
    <w:p w14:paraId="2F77FE8E" w14:textId="77777777" w:rsidR="004B5AF0" w:rsidRPr="0028364C" w:rsidRDefault="004B5AF0" w:rsidP="009019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visszaköveteléssel kapcsolatos döntések meghozatalára a Bank Felügyelő Bizottsága jogosult.</w:t>
      </w:r>
    </w:p>
    <w:p w14:paraId="178FD239" w14:textId="77777777" w:rsidR="002C71C3" w:rsidRPr="00B40543" w:rsidRDefault="002C71C3" w:rsidP="00B40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B405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Halasztott kifizetés</w:t>
      </w:r>
    </w:p>
    <w:p w14:paraId="247894FF" w14:textId="15949909" w:rsidR="002C71C3" w:rsidRDefault="002C71C3" w:rsidP="00B40543">
      <w:pPr>
        <w:jc w:val="both"/>
        <w:rPr>
          <w:rFonts w:ascii="Times New Roman" w:hAnsi="Times New Roman" w:cs="Times New Roman"/>
          <w:sz w:val="24"/>
          <w:szCs w:val="24"/>
        </w:rPr>
      </w:pPr>
      <w:r w:rsidRPr="00B40543">
        <w:rPr>
          <w:rFonts w:ascii="Times New Roman" w:hAnsi="Times New Roman" w:cs="Times New Roman"/>
          <w:sz w:val="24"/>
          <w:szCs w:val="24"/>
        </w:rPr>
        <w:t>Azon azonosított munkatársak esetében, ahol a jelen szabályzatban szereplő két havi bérnek megfelelő mozgóbérnél magasabb összeg kifizetésére kerülhet sor, a Banknak alkalmaznia kell a halasztott kifizetés intézményét</w:t>
      </w:r>
      <w:r w:rsidR="001017B4">
        <w:rPr>
          <w:rFonts w:ascii="Times New Roman" w:hAnsi="Times New Roman" w:cs="Times New Roman"/>
          <w:sz w:val="24"/>
          <w:szCs w:val="24"/>
        </w:rPr>
        <w:t>.</w:t>
      </w:r>
    </w:p>
    <w:p w14:paraId="39588FE2" w14:textId="54D4D53A" w:rsidR="001017B4" w:rsidRDefault="001017B4" w:rsidP="00B40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halasztásnál a Bank a következő szempontokat veszi figyelembe:</w:t>
      </w:r>
    </w:p>
    <w:p w14:paraId="00BFB023" w14:textId="2D97291E" w:rsidR="001017B4" w:rsidRDefault="001017B4" w:rsidP="00B40543">
      <w:pPr>
        <w:pStyle w:val="Listaszerbekezds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azonosított munkavállalók felelősségi és hatáskörei, valamint az általuk elvégzett feladatok</w:t>
      </w:r>
    </w:p>
    <w:p w14:paraId="312683B3" w14:textId="7F241135" w:rsidR="001017B4" w:rsidRDefault="001017B4" w:rsidP="00B40543">
      <w:pPr>
        <w:pStyle w:val="Listaszerbekezds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Bank üzleti ciklusa, valamint a tevékenységei jellege</w:t>
      </w:r>
    </w:p>
    <w:p w14:paraId="1B113B7E" w14:textId="3194B249" w:rsidR="001017B4" w:rsidRDefault="001017B4" w:rsidP="00B40543">
      <w:pPr>
        <w:pStyle w:val="Listaszerbekezds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Bank és az üzleti egység gazdasági tevékenységeinek, valamint teljesítményének ingadozásokra gyakorolt hatás</w:t>
      </w:r>
    </w:p>
    <w:p w14:paraId="25B5268D" w14:textId="308863CD" w:rsidR="001017B4" w:rsidRPr="00B40543" w:rsidRDefault="001017B4" w:rsidP="00B40543">
      <w:pPr>
        <w:pStyle w:val="Listaszerbekezds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teljes javadalmazás teljesítményjavadalmazás és alapjavadalmazás közötti jóváhagyott arány, valamint a teljesítményjavadalmazás abszolút összege</w:t>
      </w:r>
    </w:p>
    <w:p w14:paraId="5DA17EF1" w14:textId="65B0450C" w:rsidR="002C71C3" w:rsidRPr="00813BC8" w:rsidRDefault="002C71C3" w:rsidP="00B40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71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teljesítményjavadalmazás legalább 40 százalékát </w:t>
      </w:r>
      <w:r w:rsidR="00813BC8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2C71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30E63">
        <w:rPr>
          <w:rFonts w:ascii="Times New Roman" w:eastAsia="Times New Roman" w:hAnsi="Times New Roman" w:cs="Times New Roman"/>
          <w:sz w:val="24"/>
          <w:szCs w:val="24"/>
          <w:lang w:eastAsia="hu-HU"/>
        </w:rPr>
        <w:t>ha a</w:t>
      </w:r>
      <w:r w:rsidR="00430E63" w:rsidRPr="0028364C">
        <w:rPr>
          <w:rFonts w:ascii="Times New Roman" w:hAnsi="Times New Roman" w:cs="Times New Roman"/>
          <w:sz w:val="24"/>
          <w:szCs w:val="24"/>
        </w:rPr>
        <w:t xml:space="preserve"> teljesítményjavadalmazás </w:t>
      </w:r>
      <w:r w:rsidR="00430E63">
        <w:rPr>
          <w:rFonts w:ascii="Times New Roman" w:hAnsi="Times New Roman" w:cs="Times New Roman"/>
          <w:sz w:val="24"/>
          <w:szCs w:val="24"/>
        </w:rPr>
        <w:t>meghaladja az alapjavadalmazás 70</w:t>
      </w:r>
      <w:r w:rsidR="00430E63" w:rsidRPr="0028364C">
        <w:rPr>
          <w:rFonts w:ascii="Times New Roman" w:hAnsi="Times New Roman" w:cs="Times New Roman"/>
          <w:sz w:val="24"/>
          <w:szCs w:val="24"/>
        </w:rPr>
        <w:t>%-</w:t>
      </w:r>
      <w:r w:rsidR="00430E63" w:rsidRPr="00430E63">
        <w:rPr>
          <w:rFonts w:ascii="Times New Roman" w:hAnsi="Times New Roman" w:cs="Times New Roman"/>
          <w:sz w:val="24"/>
          <w:szCs w:val="24"/>
        </w:rPr>
        <w:t>át</w:t>
      </w:r>
      <w:r w:rsidR="00430E63" w:rsidRPr="00B405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430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akkor </w:t>
      </w:r>
      <w:r w:rsidRPr="00430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</w:t>
      </w:r>
      <w:r w:rsidR="001757F5">
        <w:rPr>
          <w:rFonts w:ascii="Times New Roman" w:eastAsia="Times New Roman" w:hAnsi="Times New Roman" w:cs="Times New Roman"/>
          <w:sz w:val="24"/>
          <w:szCs w:val="24"/>
          <w:lang w:eastAsia="hu-HU"/>
        </w:rPr>
        <w:t>60</w:t>
      </w:r>
      <w:r w:rsidR="001757F5" w:rsidRPr="00430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0E63">
        <w:rPr>
          <w:rFonts w:ascii="Times New Roman" w:eastAsia="Times New Roman" w:hAnsi="Times New Roman" w:cs="Times New Roman"/>
          <w:sz w:val="24"/>
          <w:szCs w:val="24"/>
          <w:lang w:eastAsia="hu-HU"/>
        </w:rPr>
        <w:t>százalékát</w:t>
      </w:r>
      <w:r w:rsidRPr="002C71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halasztva, az ü</w:t>
      </w:r>
      <w:r w:rsidRPr="00813B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zleti tevékenység természetétől, kockázataitól és az adott vezető állású személy, munkavállaló tevékenységeitől függően </w:t>
      </w:r>
      <w:r w:rsidR="001757F5">
        <w:rPr>
          <w:rFonts w:ascii="Times New Roman" w:eastAsia="Times New Roman" w:hAnsi="Times New Roman" w:cs="Times New Roman"/>
          <w:sz w:val="24"/>
          <w:szCs w:val="24"/>
          <w:lang w:eastAsia="hu-HU"/>
        </w:rPr>
        <w:t>négy</w:t>
      </w:r>
      <w:r w:rsidR="001757F5" w:rsidRPr="00813B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13B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évnél rövidebb időtartamú munkaviszony esetén a munkaviszony megszűnésekor, egyébként </w:t>
      </w:r>
      <w:r w:rsidR="001757F5">
        <w:rPr>
          <w:rFonts w:ascii="Times New Roman" w:eastAsia="Times New Roman" w:hAnsi="Times New Roman" w:cs="Times New Roman"/>
          <w:sz w:val="24"/>
          <w:szCs w:val="24"/>
          <w:lang w:eastAsia="hu-HU"/>
        </w:rPr>
        <w:t>négy</w:t>
      </w:r>
      <w:r w:rsidRPr="00813BC8">
        <w:rPr>
          <w:rFonts w:ascii="Times New Roman" w:eastAsia="Times New Roman" w:hAnsi="Times New Roman" w:cs="Times New Roman"/>
          <w:sz w:val="24"/>
          <w:szCs w:val="24"/>
          <w:lang w:eastAsia="hu-HU"/>
        </w:rPr>
        <w:t>-ötéves időszak alatt kell kifizetni.</w:t>
      </w:r>
      <w:r w:rsidR="00AC69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757F5">
        <w:rPr>
          <w:rFonts w:ascii="Times New Roman" w:eastAsia="Times New Roman" w:hAnsi="Times New Roman" w:cs="Times New Roman"/>
          <w:sz w:val="24"/>
          <w:szCs w:val="24"/>
          <w:lang w:eastAsia="hu-HU"/>
        </w:rPr>
        <w:t>A halasztási szabályok sz</w:t>
      </w:r>
      <w:r w:rsidR="002F354C">
        <w:rPr>
          <w:rFonts w:ascii="Times New Roman" w:eastAsia="Times New Roman" w:hAnsi="Times New Roman" w:cs="Times New Roman"/>
          <w:sz w:val="24"/>
          <w:szCs w:val="24"/>
          <w:lang w:eastAsia="hu-HU"/>
        </w:rPr>
        <w:t>erint fizetendő javadalmazás le</w:t>
      </w:r>
      <w:r w:rsidR="001757F5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="002F354C">
        <w:rPr>
          <w:rFonts w:ascii="Times New Roman" w:eastAsia="Times New Roman" w:hAnsi="Times New Roman" w:cs="Times New Roman"/>
          <w:sz w:val="24"/>
          <w:szCs w:val="24"/>
          <w:lang w:eastAsia="hu-HU"/>
        </w:rPr>
        <w:t>felj</w:t>
      </w:r>
      <w:r w:rsidR="001757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ebb időarányosan illetheti meg a munkavállalót. </w:t>
      </w:r>
      <w:r w:rsidR="00AC697E">
        <w:rPr>
          <w:rFonts w:ascii="Times New Roman" w:eastAsia="Times New Roman" w:hAnsi="Times New Roman" w:cs="Times New Roman"/>
          <w:sz w:val="24"/>
          <w:szCs w:val="24"/>
          <w:lang w:eastAsia="hu-HU"/>
        </w:rPr>
        <w:t>Halasztási időszak kezdő napja a teljesítményjavadalmazás kifizetéséről történő döntést követő nap.</w:t>
      </w:r>
    </w:p>
    <w:p w14:paraId="72C4F1FA" w14:textId="3655C0F1" w:rsidR="00813BC8" w:rsidRDefault="00813BC8" w:rsidP="002C71C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 Bank </w:t>
      </w:r>
      <w:r w:rsidR="001757F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éves halasztási időszakot alkalmaz a teljesítményjavadalmazás </w:t>
      </w:r>
      <w:r w:rsidR="00430E63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%-os halasztása esetén, 5 éves halasztási időszakot alkalmaz </w:t>
      </w:r>
      <w:r w:rsidR="00430E63">
        <w:rPr>
          <w:rFonts w:ascii="Times New Roman" w:hAnsi="Times New Roman" w:cs="Times New Roman"/>
        </w:rPr>
        <w:t xml:space="preserve">a teljesítményjavadalmazás </w:t>
      </w:r>
      <w:r>
        <w:rPr>
          <w:rFonts w:ascii="Times New Roman" w:hAnsi="Times New Roman" w:cs="Times New Roman"/>
        </w:rPr>
        <w:t>60%-os halasztás</w:t>
      </w:r>
      <w:r w:rsidR="00430E6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esetén.</w:t>
      </w:r>
    </w:p>
    <w:p w14:paraId="474B5D96" w14:textId="77777777" w:rsidR="00813BC8" w:rsidRDefault="00813BC8" w:rsidP="002C71C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203E3A3" w14:textId="74B7DA25" w:rsidR="008D625E" w:rsidRDefault="008D625E" w:rsidP="002C71C3">
      <w:pPr>
        <w:pStyle w:val="Default"/>
        <w:spacing w:line="276" w:lineRule="auto"/>
        <w:jc w:val="both"/>
      </w:pPr>
      <w:r>
        <w:t>A teljesítményjavadalmazást csökkenteni kell, ha a hitelintézet pénzügyi teljesítménye jelentősen visszaesik vagy negatív, figyelembe véve az aktuális javadalmazást és a csökkentési vagy visszakövetelési szabályokat.</w:t>
      </w:r>
    </w:p>
    <w:p w14:paraId="4C38C24A" w14:textId="77777777" w:rsidR="008D625E" w:rsidRDefault="008D625E" w:rsidP="002C71C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CDD4663" w14:textId="12D7A064" w:rsidR="002C71C3" w:rsidRDefault="00813BC8" w:rsidP="00B4054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C71C3" w:rsidRPr="00813BC8">
        <w:rPr>
          <w:rFonts w:ascii="Times New Roman" w:hAnsi="Times New Roman" w:cs="Times New Roman"/>
        </w:rPr>
        <w:t>A halasztott kifizetés úgy történik a két havi béren felüli összeg tekintetében, hogy</w:t>
      </w:r>
      <w:r w:rsidR="006301FA">
        <w:rPr>
          <w:rFonts w:ascii="Times New Roman" w:hAnsi="Times New Roman" w:cs="Times New Roman"/>
        </w:rPr>
        <w:t xml:space="preserve"> 40%-os halasztás esetén</w:t>
      </w:r>
      <w:r w:rsidR="002C71C3" w:rsidRPr="00813BC8">
        <w:rPr>
          <w:rFonts w:ascii="Times New Roman" w:hAnsi="Times New Roman" w:cs="Times New Roman"/>
        </w:rPr>
        <w:t xml:space="preserve"> a kifizetendő prémium összegének 60%-a </w:t>
      </w:r>
      <w:r w:rsidR="006301FA">
        <w:rPr>
          <w:rFonts w:ascii="Times New Roman" w:hAnsi="Times New Roman" w:cs="Times New Roman"/>
        </w:rPr>
        <w:t xml:space="preserve">(60%-os halasztás esetén 40%-a) </w:t>
      </w:r>
      <w:r w:rsidR="002C71C3" w:rsidRPr="00813BC8">
        <w:rPr>
          <w:rFonts w:ascii="Times New Roman" w:hAnsi="Times New Roman" w:cs="Times New Roman"/>
        </w:rPr>
        <w:t>kerül az arra jogosulttá váláskor kifizetésre, a fennmaradó összeg</w:t>
      </w:r>
      <w:r w:rsidR="006301FA">
        <w:rPr>
          <w:rFonts w:ascii="Times New Roman" w:hAnsi="Times New Roman" w:cs="Times New Roman"/>
        </w:rPr>
        <w:t xml:space="preserve"> 40%-os halasztás esetén</w:t>
      </w:r>
      <w:r w:rsidR="002C71C3" w:rsidRPr="00813BC8">
        <w:rPr>
          <w:rFonts w:ascii="Times New Roman" w:hAnsi="Times New Roman" w:cs="Times New Roman"/>
        </w:rPr>
        <w:t xml:space="preserve"> pedig </w:t>
      </w:r>
      <w:r w:rsidR="001757F5">
        <w:rPr>
          <w:rFonts w:ascii="Times New Roman" w:hAnsi="Times New Roman" w:cs="Times New Roman"/>
        </w:rPr>
        <w:t>4</w:t>
      </w:r>
      <w:r w:rsidR="002C71C3" w:rsidRPr="00813BC8">
        <w:rPr>
          <w:rFonts w:ascii="Times New Roman" w:hAnsi="Times New Roman" w:cs="Times New Roman"/>
        </w:rPr>
        <w:t xml:space="preserve"> éven belül</w:t>
      </w:r>
      <w:r w:rsidR="006301FA">
        <w:rPr>
          <w:rFonts w:ascii="Times New Roman" w:hAnsi="Times New Roman" w:cs="Times New Roman"/>
        </w:rPr>
        <w:t xml:space="preserve"> (60%-os halasztás esetén 5 éven belül)</w:t>
      </w:r>
      <w:r w:rsidR="002C71C3" w:rsidRPr="00813BC8">
        <w:rPr>
          <w:rFonts w:ascii="Times New Roman" w:hAnsi="Times New Roman" w:cs="Times New Roman"/>
        </w:rPr>
        <w:t xml:space="preserve"> kerül kifizetésre arányosan úgy, hogy a halasztott kifizetés mindig az éves mozgóbér kifizetéssel együtt történik (közgyűlést követő bérszámfejtéskor), a teljesítmény újraértékelése mellett, a halasztott javadalmazás juttatását megelőző utólagos kockázati kiigazítások alapján csökkentve a halasztott teljesítményjavadalmazás egészének vagy egy részének értékét. </w:t>
      </w:r>
    </w:p>
    <w:p w14:paraId="52F54F68" w14:textId="77777777" w:rsidR="001757F5" w:rsidRDefault="001757F5" w:rsidP="00B4054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7F43C53" w14:textId="2C2FEE85" w:rsidR="001757F5" w:rsidRDefault="00D67B99" w:rsidP="00D67B9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halasztás nem alkalmazandó</w:t>
      </w:r>
      <w:r w:rsidRPr="00D67B99">
        <w:rPr>
          <w:rFonts w:ascii="Times New Roman" w:hAnsi="Times New Roman" w:cs="Times New Roman"/>
        </w:rPr>
        <w:t xml:space="preserve"> arra a munkavállalóra, akinek az éves teljesítményjavadalmazása nem haladja meg a tizenhétmillió-ötszázezer forintot, és a teljesítményjavadalmazás a munkavállaló teljes éves javadalmazásának legfeljebb az egyharmada</w:t>
      </w:r>
      <w:r>
        <w:rPr>
          <w:rFonts w:ascii="Times New Roman" w:hAnsi="Times New Roman" w:cs="Times New Roman"/>
        </w:rPr>
        <w:t>.</w:t>
      </w:r>
    </w:p>
    <w:p w14:paraId="66724C2B" w14:textId="77777777" w:rsidR="001017B4" w:rsidRPr="0028364C" w:rsidRDefault="001017B4" w:rsidP="00B4054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1F536FF" w14:textId="73637BDA" w:rsidR="00424D1A" w:rsidRPr="0028364C" w:rsidRDefault="00424D1A" w:rsidP="009019E6">
      <w:pPr>
        <w:pStyle w:val="Listaszerbekezds"/>
        <w:numPr>
          <w:ilvl w:val="0"/>
          <w:numId w:val="1"/>
        </w:numPr>
        <w:ind w:left="426" w:hanging="426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7" w:name="_Toc75937754"/>
      <w:r w:rsidRPr="0028364C">
        <w:rPr>
          <w:rFonts w:ascii="Times New Roman" w:hAnsi="Times New Roman" w:cs="Times New Roman"/>
          <w:b/>
          <w:sz w:val="28"/>
          <w:szCs w:val="28"/>
        </w:rPr>
        <w:t>Munkaviszony</w:t>
      </w:r>
      <w:r w:rsidR="005F101A" w:rsidRPr="0028364C">
        <w:rPr>
          <w:rFonts w:ascii="Times New Roman" w:hAnsi="Times New Roman" w:cs="Times New Roman"/>
          <w:b/>
          <w:sz w:val="28"/>
          <w:szCs w:val="28"/>
        </w:rPr>
        <w:t xml:space="preserve"> létesítése</w:t>
      </w:r>
      <w:r w:rsidRPr="0028364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F101A" w:rsidRPr="0028364C">
        <w:rPr>
          <w:rFonts w:ascii="Times New Roman" w:hAnsi="Times New Roman" w:cs="Times New Roman"/>
          <w:b/>
          <w:sz w:val="28"/>
          <w:szCs w:val="28"/>
        </w:rPr>
        <w:t xml:space="preserve">munkáltatói jog gyakorlója, </w:t>
      </w:r>
      <w:r w:rsidRPr="0028364C">
        <w:rPr>
          <w:rFonts w:ascii="Times New Roman" w:hAnsi="Times New Roman" w:cs="Times New Roman"/>
          <w:b/>
          <w:sz w:val="28"/>
          <w:szCs w:val="28"/>
        </w:rPr>
        <w:t>munkaviszony megszűntetés esetén járó juttatások</w:t>
      </w:r>
      <w:bookmarkEnd w:id="27"/>
    </w:p>
    <w:p w14:paraId="174BC183" w14:textId="77777777" w:rsidR="001519C5" w:rsidRPr="0028364C" w:rsidRDefault="001519C5" w:rsidP="001519C5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lang w:eastAsia="hu-HU"/>
        </w:rPr>
      </w:pPr>
    </w:p>
    <w:p w14:paraId="504B6F25" w14:textId="77777777" w:rsidR="007D49CE" w:rsidRPr="0028364C" w:rsidRDefault="005F101A" w:rsidP="009019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</w:t>
      </w:r>
      <w:r w:rsidR="007D49CE" w:rsidRPr="0028364C">
        <w:rPr>
          <w:rFonts w:ascii="Times New Roman" w:hAnsi="Times New Roman" w:cs="Times New Roman"/>
          <w:sz w:val="24"/>
          <w:szCs w:val="24"/>
        </w:rPr>
        <w:t>z Ügyvezetők személyét kivéve, a Bank v</w:t>
      </w:r>
      <w:r w:rsidR="00186901" w:rsidRPr="0028364C">
        <w:rPr>
          <w:rFonts w:ascii="Times New Roman" w:hAnsi="Times New Roman" w:cs="Times New Roman"/>
          <w:sz w:val="24"/>
          <w:szCs w:val="24"/>
        </w:rPr>
        <w:t>alamennyi alkalmazottja feletti</w:t>
      </w:r>
      <w:r w:rsidR="007D49CE" w:rsidRPr="0028364C">
        <w:rPr>
          <w:rFonts w:ascii="Times New Roman" w:hAnsi="Times New Roman" w:cs="Times New Roman"/>
          <w:sz w:val="24"/>
          <w:szCs w:val="24"/>
        </w:rPr>
        <w:t xml:space="preserve"> munkáltatói jogok gyakorlását a Vezérigazgató gyakorolja, mely jogkörét az SZMSZ keretei között esetileg átruházhatja. </w:t>
      </w:r>
    </w:p>
    <w:p w14:paraId="2826862D" w14:textId="3DD36779" w:rsidR="007D49CE" w:rsidRPr="0028364C" w:rsidRDefault="007D49CE" w:rsidP="009019E6">
      <w:pPr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Bankkal munkajogi jogviszony írásba foglalt munkaszerződés megkötése útján létesíthető, mely aláírására kizárólag a munkáltatói jogokat gyakorló Vezérigazgató jogosult</w:t>
      </w:r>
      <w:r w:rsidR="00B3777F" w:rsidRPr="0028364C">
        <w:rPr>
          <w:rFonts w:ascii="Times New Roman" w:hAnsi="Times New Roman" w:cs="Times New Roman"/>
          <w:sz w:val="24"/>
          <w:szCs w:val="24"/>
        </w:rPr>
        <w:t>, ügyvezetők esetén pedig az Igazgatóság testületi döntése alapján annak két tagja jogosult.</w:t>
      </w:r>
      <w:r w:rsidRPr="0028364C">
        <w:rPr>
          <w:rFonts w:ascii="Times New Roman" w:hAnsi="Times New Roman" w:cs="Times New Roman"/>
          <w:sz w:val="24"/>
          <w:szCs w:val="24"/>
        </w:rPr>
        <w:t xml:space="preserve"> A munkaszerződés egy példányát a munkavállalónak belépésének napján át kell adni. </w:t>
      </w:r>
    </w:p>
    <w:p w14:paraId="68F635ED" w14:textId="77777777" w:rsidR="005965EC" w:rsidRPr="0028364C" w:rsidRDefault="005965EC" w:rsidP="009019E6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végkielégítés mértéke és kifizetése a Munka Törvénykönyvében, valamint az egyéni munkaszerződésekben meghatározottak szerint </w:t>
      </w:r>
      <w:r w:rsidRPr="003A660C">
        <w:rPr>
          <w:rFonts w:ascii="Times New Roman" w:hAnsi="Times New Roman" w:cs="Times New Roman"/>
          <w:sz w:val="24"/>
          <w:szCs w:val="24"/>
        </w:rPr>
        <w:t>történik. Az azonosított munkavállalók esetén a végkielégítés mértéke maximum 6 havi távolléti díj.</w:t>
      </w:r>
    </w:p>
    <w:p w14:paraId="65235649" w14:textId="77777777" w:rsidR="009019E6" w:rsidRPr="0028364C" w:rsidRDefault="009019E6" w:rsidP="009019E6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7B21E8A" w14:textId="77777777" w:rsidR="001519C5" w:rsidRPr="0028364C" w:rsidRDefault="005900BF" w:rsidP="009019E6">
      <w:pPr>
        <w:pStyle w:val="Listaszerbekezds"/>
        <w:numPr>
          <w:ilvl w:val="0"/>
          <w:numId w:val="1"/>
        </w:numPr>
        <w:ind w:left="426" w:hanging="426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364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8" w:name="_Toc75937755"/>
      <w:r w:rsidR="00424D1A" w:rsidRPr="0028364C">
        <w:rPr>
          <w:rFonts w:ascii="Times New Roman" w:hAnsi="Times New Roman" w:cs="Times New Roman"/>
          <w:b/>
          <w:sz w:val="28"/>
          <w:szCs w:val="28"/>
        </w:rPr>
        <w:t xml:space="preserve">A javadalmazási </w:t>
      </w:r>
      <w:r w:rsidR="005E4C00" w:rsidRPr="0028364C">
        <w:rPr>
          <w:rFonts w:ascii="Times New Roman" w:hAnsi="Times New Roman" w:cs="Times New Roman"/>
          <w:b/>
          <w:sz w:val="28"/>
          <w:szCs w:val="28"/>
        </w:rPr>
        <w:t>Politika közzététele</w:t>
      </w:r>
      <w:bookmarkEnd w:id="28"/>
    </w:p>
    <w:p w14:paraId="274A5CD1" w14:textId="0385DBC0" w:rsidR="009D25C9" w:rsidRPr="0028364C" w:rsidRDefault="00713086" w:rsidP="009019E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Javadalmazási Politika</w:t>
      </w:r>
      <w:r w:rsidR="009D25C9" w:rsidRPr="0028364C">
        <w:rPr>
          <w:rFonts w:ascii="Times New Roman" w:hAnsi="Times New Roman" w:cs="Times New Roman"/>
          <w:sz w:val="24"/>
          <w:szCs w:val="24"/>
        </w:rPr>
        <w:t xml:space="preserve"> a </w:t>
      </w:r>
      <w:r w:rsidR="00B53FE2">
        <w:rPr>
          <w:rFonts w:ascii="Times New Roman" w:hAnsi="Times New Roman" w:cs="Times New Roman"/>
          <w:sz w:val="24"/>
          <w:szCs w:val="24"/>
        </w:rPr>
        <w:t xml:space="preserve">Bank </w:t>
      </w:r>
      <w:r w:rsidR="009D25C9" w:rsidRPr="0028364C">
        <w:rPr>
          <w:rFonts w:ascii="Times New Roman" w:hAnsi="Times New Roman" w:cs="Times New Roman"/>
          <w:sz w:val="24"/>
          <w:szCs w:val="24"/>
        </w:rPr>
        <w:t>minden munkavállalója számára hozzáférhető, saját számítógépes felületén (intranet), vagy a</w:t>
      </w:r>
      <w:r w:rsidR="007E5B81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9D25C9" w:rsidRPr="0028364C">
        <w:rPr>
          <w:rFonts w:ascii="Times New Roman" w:hAnsi="Times New Roman" w:cs="Times New Roman"/>
          <w:sz w:val="24"/>
          <w:szCs w:val="24"/>
        </w:rPr>
        <w:t xml:space="preserve">szokásos módon történő közzététel útján.  </w:t>
      </w:r>
    </w:p>
    <w:p w14:paraId="6AD778BE" w14:textId="414C102B" w:rsidR="00A448C3" w:rsidRDefault="009D25C9" w:rsidP="009019E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</w:t>
      </w:r>
      <w:r w:rsidR="00B53FE2">
        <w:rPr>
          <w:rFonts w:ascii="Times New Roman" w:hAnsi="Times New Roman" w:cs="Times New Roman"/>
          <w:sz w:val="24"/>
          <w:szCs w:val="24"/>
        </w:rPr>
        <w:t>Bank</w:t>
      </w:r>
      <w:r w:rsidR="00B53FE2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Pr="0028364C">
        <w:rPr>
          <w:rFonts w:ascii="Times New Roman" w:hAnsi="Times New Roman" w:cs="Times New Roman"/>
          <w:sz w:val="24"/>
          <w:szCs w:val="24"/>
        </w:rPr>
        <w:t xml:space="preserve">évente nyilvánosságra hozza Javadalmazási Politikájának lényeges elemeit, </w:t>
      </w:r>
      <w:r w:rsidR="00A50117" w:rsidRPr="0028364C">
        <w:rPr>
          <w:rFonts w:ascii="Times New Roman" w:hAnsi="Times New Roman" w:cs="Times New Roman"/>
          <w:sz w:val="24"/>
          <w:szCs w:val="24"/>
        </w:rPr>
        <w:t>és egyben</w:t>
      </w:r>
      <w:r w:rsidRPr="0028364C">
        <w:rPr>
          <w:rFonts w:ascii="Times New Roman" w:hAnsi="Times New Roman" w:cs="Times New Roman"/>
          <w:sz w:val="24"/>
          <w:szCs w:val="24"/>
        </w:rPr>
        <w:t xml:space="preserve"> teljesíti az alap- és teljesítményjavadalomhoz kapcsolódó MNB adatszolgáltatást is a </w:t>
      </w:r>
      <w:r w:rsidR="0065186A" w:rsidRPr="0028364C">
        <w:rPr>
          <w:rFonts w:ascii="Times New Roman" w:hAnsi="Times New Roman" w:cs="Times New Roman"/>
          <w:sz w:val="24"/>
          <w:szCs w:val="24"/>
        </w:rPr>
        <w:t xml:space="preserve">29/2017. (XI. 22.) </w:t>
      </w:r>
      <w:r w:rsidRPr="0028364C">
        <w:rPr>
          <w:rFonts w:ascii="Times New Roman" w:hAnsi="Times New Roman" w:cs="Times New Roman"/>
          <w:sz w:val="24"/>
          <w:szCs w:val="24"/>
        </w:rPr>
        <w:t>MNB rendelet</w:t>
      </w:r>
      <w:r w:rsidR="00EA3E71" w:rsidRPr="0028364C">
        <w:rPr>
          <w:rFonts w:ascii="Times New Roman" w:hAnsi="Times New Roman" w:cs="Times New Roman"/>
          <w:sz w:val="24"/>
          <w:szCs w:val="24"/>
        </w:rPr>
        <w:t xml:space="preserve"> és a 3 /2017. (II.9.) MNB ajánlás</w:t>
      </w:r>
      <w:r w:rsidRPr="0028364C">
        <w:rPr>
          <w:rFonts w:ascii="Times New Roman" w:hAnsi="Times New Roman" w:cs="Times New Roman"/>
          <w:sz w:val="24"/>
          <w:szCs w:val="24"/>
        </w:rPr>
        <w:t xml:space="preserve"> alapján.</w:t>
      </w:r>
    </w:p>
    <w:p w14:paraId="48057B75" w14:textId="77777777" w:rsidR="0059797D" w:rsidRDefault="0059797D" w:rsidP="009019E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0016A" w14:textId="77777777" w:rsidR="00424D1A" w:rsidRPr="0028364C" w:rsidRDefault="00424D1A" w:rsidP="009019E6">
      <w:pPr>
        <w:pStyle w:val="Listaszerbekezds"/>
        <w:numPr>
          <w:ilvl w:val="0"/>
          <w:numId w:val="1"/>
        </w:numPr>
        <w:ind w:left="426" w:hanging="426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9" w:name="_Toc75937756"/>
      <w:r w:rsidRPr="002836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 Javadalmazási Politika </w:t>
      </w:r>
      <w:r w:rsidR="005E4C00" w:rsidRPr="0028364C">
        <w:rPr>
          <w:rFonts w:ascii="Times New Roman" w:hAnsi="Times New Roman" w:cs="Times New Roman"/>
          <w:b/>
          <w:sz w:val="28"/>
          <w:szCs w:val="28"/>
        </w:rPr>
        <w:t xml:space="preserve">ellenőrzése és </w:t>
      </w:r>
      <w:r w:rsidRPr="0028364C">
        <w:rPr>
          <w:rFonts w:ascii="Times New Roman" w:hAnsi="Times New Roman" w:cs="Times New Roman"/>
          <w:b/>
          <w:sz w:val="28"/>
          <w:szCs w:val="28"/>
        </w:rPr>
        <w:t>felülvizsgálata</w:t>
      </w:r>
      <w:bookmarkEnd w:id="29"/>
    </w:p>
    <w:p w14:paraId="1D832B08" w14:textId="77777777" w:rsidR="001519C5" w:rsidRPr="0028364C" w:rsidRDefault="001519C5" w:rsidP="001519C5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</w:p>
    <w:p w14:paraId="74D8BEDF" w14:textId="77777777" w:rsidR="003B7235" w:rsidRPr="0028364C" w:rsidRDefault="00F32EDC" w:rsidP="003B7235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</w:t>
      </w:r>
      <w:r w:rsidR="00E02678" w:rsidRPr="0028364C">
        <w:rPr>
          <w:rFonts w:ascii="Times New Roman" w:hAnsi="Times New Roman" w:cs="Times New Roman"/>
          <w:sz w:val="24"/>
          <w:szCs w:val="24"/>
        </w:rPr>
        <w:t xml:space="preserve">Humánerőforrás Osztály (továbbiakban: </w:t>
      </w:r>
      <w:r w:rsidRPr="0028364C">
        <w:rPr>
          <w:rFonts w:ascii="Times New Roman" w:hAnsi="Times New Roman" w:cs="Times New Roman"/>
          <w:sz w:val="24"/>
          <w:szCs w:val="24"/>
        </w:rPr>
        <w:t xml:space="preserve">HR </w:t>
      </w:r>
      <w:r w:rsidR="00954CB8" w:rsidRPr="0028364C">
        <w:rPr>
          <w:rFonts w:ascii="Times New Roman" w:hAnsi="Times New Roman" w:cs="Times New Roman"/>
          <w:sz w:val="24"/>
          <w:szCs w:val="24"/>
        </w:rPr>
        <w:t>Osztály</w:t>
      </w:r>
      <w:r w:rsidR="00E02678" w:rsidRPr="0028364C">
        <w:rPr>
          <w:rFonts w:ascii="Times New Roman" w:hAnsi="Times New Roman" w:cs="Times New Roman"/>
          <w:sz w:val="24"/>
          <w:szCs w:val="24"/>
        </w:rPr>
        <w:t>)</w:t>
      </w:r>
      <w:r w:rsidR="00954CB8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Pr="0028364C">
        <w:rPr>
          <w:rFonts w:ascii="Times New Roman" w:hAnsi="Times New Roman" w:cs="Times New Roman"/>
          <w:sz w:val="24"/>
          <w:szCs w:val="24"/>
        </w:rPr>
        <w:t xml:space="preserve">feladata a javadalmazáshoz kapcsolódó </w:t>
      </w:r>
      <w:r w:rsidR="007373B5" w:rsidRPr="0028364C">
        <w:rPr>
          <w:rFonts w:ascii="Times New Roman" w:hAnsi="Times New Roman" w:cs="Times New Roman"/>
          <w:sz w:val="24"/>
          <w:szCs w:val="24"/>
        </w:rPr>
        <w:t>szabályzatok, utasítások</w:t>
      </w:r>
      <w:r w:rsidRPr="0028364C">
        <w:rPr>
          <w:rFonts w:ascii="Times New Roman" w:hAnsi="Times New Roman" w:cs="Times New Roman"/>
          <w:sz w:val="24"/>
          <w:szCs w:val="24"/>
        </w:rPr>
        <w:t xml:space="preserve"> előkészítése, karbantartása, a Javadalmazási Politikát elfogadó és végrehajtó testületek – Igazgatóság, Felügyelő Bizottság – munkájának támogatása, azok megfelelő szintű tájékoztatása</w:t>
      </w:r>
      <w:r w:rsidR="005A6CEF" w:rsidRPr="0028364C">
        <w:rPr>
          <w:rFonts w:ascii="Times New Roman" w:hAnsi="Times New Roman" w:cs="Times New Roman"/>
          <w:sz w:val="24"/>
          <w:szCs w:val="24"/>
        </w:rPr>
        <w:t>. További feladata a Javadalmazási Politika alkalmazása kapcsán keletkező dokumentumok (azonosítás, értékelések, nyilvántartások) megőrzése.</w:t>
      </w:r>
      <w:r w:rsidR="003B7235">
        <w:rPr>
          <w:rFonts w:ascii="Times New Roman" w:hAnsi="Times New Roman" w:cs="Times New Roman"/>
          <w:sz w:val="24"/>
          <w:szCs w:val="24"/>
        </w:rPr>
        <w:t xml:space="preserve"> </w:t>
      </w:r>
      <w:r w:rsidR="003B7235" w:rsidRPr="0028364C">
        <w:rPr>
          <w:rFonts w:ascii="Times New Roman" w:hAnsi="Times New Roman" w:cs="Times New Roman"/>
          <w:sz w:val="24"/>
          <w:szCs w:val="24"/>
        </w:rPr>
        <w:t>A HR Osztály feladata a javadalmazási struktúra, a javadalmazási szintek és ösztönző rendszerek kialakítása, értékelése.</w:t>
      </w:r>
    </w:p>
    <w:p w14:paraId="1ACAC6F4" w14:textId="77777777" w:rsidR="005A6CEF" w:rsidRPr="0028364C" w:rsidRDefault="005A6CEF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3F3230" w14:textId="3BD861FE" w:rsidR="001519C5" w:rsidRPr="0028364C" w:rsidRDefault="002160AA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Javadalmazási Politikát központi, független és rendszeres – legalább évenkénti – belső felülvizsgálatnak kell alávetni. A vizsgálatot a független belső ellenőrzésnek kell lefolytatnia, a további </w:t>
      </w:r>
      <w:r w:rsidR="005A6CEF" w:rsidRPr="0028364C">
        <w:rPr>
          <w:rFonts w:ascii="Times New Roman" w:hAnsi="Times New Roman" w:cs="Times New Roman"/>
          <w:sz w:val="24"/>
          <w:szCs w:val="24"/>
        </w:rPr>
        <w:t>releváns belső vállalati funkciókat képviselő szakterületek (humánerőforrás, jog, kockázatkezelés, compliance, controlling)</w:t>
      </w:r>
      <w:r w:rsidRPr="0028364C">
        <w:rPr>
          <w:rFonts w:ascii="Times New Roman" w:hAnsi="Times New Roman" w:cs="Times New Roman"/>
          <w:sz w:val="24"/>
          <w:szCs w:val="24"/>
        </w:rPr>
        <w:t xml:space="preserve"> bevonásával. A felülvizsgálat során meg kell vizsgálni, hogy a hatályos Javadalmazási Politika megfelelően érvényesül-e a szervezet</w:t>
      </w:r>
      <w:r w:rsidR="007373B5" w:rsidRPr="0028364C">
        <w:rPr>
          <w:rFonts w:ascii="Times New Roman" w:hAnsi="Times New Roman" w:cs="Times New Roman"/>
          <w:sz w:val="24"/>
          <w:szCs w:val="24"/>
        </w:rPr>
        <w:t>en</w:t>
      </w:r>
      <w:r w:rsidRPr="0028364C">
        <w:rPr>
          <w:rFonts w:ascii="Times New Roman" w:hAnsi="Times New Roman" w:cs="Times New Roman"/>
          <w:sz w:val="24"/>
          <w:szCs w:val="24"/>
        </w:rPr>
        <w:t xml:space="preserve"> belül, illetve megfelel-e a jogszabályi elvárásoknak és előírásoknak</w:t>
      </w:r>
      <w:r w:rsidR="005A6CEF" w:rsidRPr="0028364C">
        <w:rPr>
          <w:rFonts w:ascii="Times New Roman" w:hAnsi="Times New Roman" w:cs="Times New Roman"/>
          <w:sz w:val="24"/>
          <w:szCs w:val="24"/>
        </w:rPr>
        <w:t xml:space="preserve"> valamint végrehajtásuk következetes összhangban van-e a kifizetések korlátozására vonatkozó követelményekkel, továbbá, hogy az nem jelent-e veszélyt a Bank biztonságos tőkehelyzetének fenntartására</w:t>
      </w:r>
      <w:r w:rsidRPr="0028364C">
        <w:rPr>
          <w:rFonts w:ascii="Times New Roman" w:hAnsi="Times New Roman" w:cs="Times New Roman"/>
          <w:sz w:val="24"/>
          <w:szCs w:val="24"/>
        </w:rPr>
        <w:t>.</w:t>
      </w:r>
    </w:p>
    <w:p w14:paraId="2099D643" w14:textId="77777777" w:rsidR="006C01EF" w:rsidRPr="0028364C" w:rsidRDefault="006C01EF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BD8C73" w14:textId="77777777" w:rsidR="006C01EF" w:rsidRPr="0028364C" w:rsidRDefault="006C01EF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Kockázatkezelés feladata, hogy információt nyújtson a megfelelő kockázattal kiigazított teljesítménymérők meghatározásához, illetve azok értékeléséhez. Kiszámítsa és jóváhagyja a kockázatokkal kiigazított adatokat, valamint részt vegyen a Felügyelő Bizottság javadalmazással kapcsolatban döntéseket hozó ülésein.</w:t>
      </w:r>
    </w:p>
    <w:p w14:paraId="2AC1F5E4" w14:textId="77777777" w:rsidR="006C01EF" w:rsidRPr="0028364C" w:rsidRDefault="006C01EF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02E4B2" w14:textId="1390F0DA" w:rsidR="0002356E" w:rsidRPr="0028364C" w:rsidRDefault="006C01EF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Compliance feladata</w:t>
      </w:r>
      <w:r w:rsidR="007F2CF3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9244D0" w:rsidRPr="0028364C">
        <w:rPr>
          <w:rFonts w:ascii="Times New Roman" w:hAnsi="Times New Roman" w:cs="Times New Roman"/>
          <w:sz w:val="24"/>
          <w:szCs w:val="24"/>
        </w:rPr>
        <w:t>-</w:t>
      </w:r>
      <w:r w:rsid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7F2CF3" w:rsidRPr="0028364C">
        <w:rPr>
          <w:rFonts w:ascii="Times New Roman" w:hAnsi="Times New Roman" w:cs="Times New Roman"/>
          <w:sz w:val="24"/>
          <w:szCs w:val="24"/>
        </w:rPr>
        <w:t>a jogi szakterület bevonásával</w:t>
      </w:r>
      <w:r w:rsidR="005308C8">
        <w:rPr>
          <w:rFonts w:ascii="Times New Roman" w:hAnsi="Times New Roman" w:cs="Times New Roman"/>
          <w:sz w:val="24"/>
          <w:szCs w:val="24"/>
        </w:rPr>
        <w:t xml:space="preserve"> </w:t>
      </w:r>
      <w:r w:rsidR="009244D0" w:rsidRPr="0028364C">
        <w:rPr>
          <w:rFonts w:ascii="Times New Roman" w:hAnsi="Times New Roman" w:cs="Times New Roman"/>
          <w:sz w:val="24"/>
          <w:szCs w:val="24"/>
        </w:rPr>
        <w:t>-</w:t>
      </w:r>
      <w:r w:rsidR="0028364C">
        <w:rPr>
          <w:rFonts w:ascii="Times New Roman" w:hAnsi="Times New Roman" w:cs="Times New Roman"/>
          <w:sz w:val="24"/>
          <w:szCs w:val="24"/>
        </w:rPr>
        <w:t xml:space="preserve"> </w:t>
      </w:r>
      <w:r w:rsidRPr="0028364C">
        <w:rPr>
          <w:rFonts w:ascii="Times New Roman" w:hAnsi="Times New Roman" w:cs="Times New Roman"/>
          <w:sz w:val="24"/>
          <w:szCs w:val="24"/>
        </w:rPr>
        <w:t>, hogy elemezze a Javadalmazási P</w:t>
      </w:r>
      <w:r w:rsidR="00206D74" w:rsidRPr="0028364C">
        <w:rPr>
          <w:rFonts w:ascii="Times New Roman" w:hAnsi="Times New Roman" w:cs="Times New Roman"/>
          <w:sz w:val="24"/>
          <w:szCs w:val="24"/>
        </w:rPr>
        <w:t xml:space="preserve">olitika milyen hatást gyakorol az intézmény jogszabályoknak, belső szabályzatoknak, politikáknak, </w:t>
      </w:r>
      <w:r w:rsidR="0002356E" w:rsidRPr="0028364C">
        <w:rPr>
          <w:rFonts w:ascii="Times New Roman" w:hAnsi="Times New Roman" w:cs="Times New Roman"/>
          <w:sz w:val="24"/>
          <w:szCs w:val="24"/>
        </w:rPr>
        <w:t>valamint kockázati kultúrának való megfelelésére, és jelentse az ezektől való eltérésben rejlő valamennyi kockázatot az Igazgatóság és a Felügyelő Bizottság tagjai felé.</w:t>
      </w:r>
    </w:p>
    <w:p w14:paraId="000C7BB3" w14:textId="77777777" w:rsidR="0002356E" w:rsidRPr="0028364C" w:rsidRDefault="0002356E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B87D27" w14:textId="123A37E7" w:rsidR="000C470E" w:rsidRPr="0028364C" w:rsidRDefault="009A3373" w:rsidP="009A3373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Kontrolling </w:t>
      </w:r>
      <w:r w:rsidR="000C470E" w:rsidRPr="0028364C">
        <w:rPr>
          <w:rFonts w:ascii="Times New Roman" w:hAnsi="Times New Roman" w:cs="Times New Roman"/>
          <w:sz w:val="24"/>
          <w:szCs w:val="24"/>
        </w:rPr>
        <w:t>és Tőkemenedzsment Szakterület (</w:t>
      </w:r>
      <w:r w:rsidR="001E4B5E" w:rsidRPr="0028364C">
        <w:rPr>
          <w:rFonts w:ascii="Times New Roman" w:hAnsi="Times New Roman" w:cs="Times New Roman"/>
          <w:sz w:val="24"/>
          <w:szCs w:val="24"/>
        </w:rPr>
        <w:t xml:space="preserve">továbbiakban: </w:t>
      </w:r>
      <w:r w:rsidR="000C470E" w:rsidRPr="0028364C">
        <w:rPr>
          <w:rFonts w:ascii="Times New Roman" w:hAnsi="Times New Roman" w:cs="Times New Roman"/>
          <w:sz w:val="24"/>
          <w:szCs w:val="24"/>
        </w:rPr>
        <w:t xml:space="preserve">KTSZ) </w:t>
      </w:r>
      <w:r w:rsidRPr="0028364C">
        <w:rPr>
          <w:rFonts w:ascii="Times New Roman" w:hAnsi="Times New Roman" w:cs="Times New Roman"/>
          <w:sz w:val="24"/>
          <w:szCs w:val="24"/>
        </w:rPr>
        <w:t>feladata, hogy</w:t>
      </w:r>
      <w:r w:rsidR="000C470E" w:rsidRPr="0028364C">
        <w:rPr>
          <w:rFonts w:ascii="Times New Roman" w:hAnsi="Times New Roman" w:cs="Times New Roman"/>
          <w:sz w:val="24"/>
          <w:szCs w:val="24"/>
        </w:rPr>
        <w:t xml:space="preserve"> az Ügyvezetés iránymutatása alapján,</w:t>
      </w:r>
      <w:r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0C470E" w:rsidRPr="0028364C">
        <w:rPr>
          <w:rFonts w:ascii="Times New Roman" w:hAnsi="Times New Roman" w:cs="Times New Roman"/>
          <w:sz w:val="24"/>
          <w:szCs w:val="24"/>
        </w:rPr>
        <w:t>a Kockázatkezelési Szakterülettel egyeztetve, február</w:t>
      </w:r>
      <w:r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0C470E" w:rsidRPr="0028364C">
        <w:rPr>
          <w:rFonts w:ascii="Times New Roman" w:hAnsi="Times New Roman" w:cs="Times New Roman"/>
          <w:sz w:val="24"/>
          <w:szCs w:val="24"/>
        </w:rPr>
        <w:t xml:space="preserve">utolsó munkanapjáig meghatározza azokat </w:t>
      </w:r>
      <w:r w:rsidRPr="0028364C">
        <w:rPr>
          <w:rFonts w:ascii="Times New Roman" w:hAnsi="Times New Roman" w:cs="Times New Roman"/>
          <w:sz w:val="24"/>
          <w:szCs w:val="24"/>
        </w:rPr>
        <w:t>az objektív mutatókat</w:t>
      </w:r>
      <w:r w:rsidR="000C470E" w:rsidRPr="0028364C">
        <w:rPr>
          <w:rFonts w:ascii="Times New Roman" w:hAnsi="Times New Roman" w:cs="Times New Roman"/>
          <w:sz w:val="24"/>
          <w:szCs w:val="24"/>
        </w:rPr>
        <w:t>, amelyek a tárgyévi értékelés alapjául szolgálnak majd.</w:t>
      </w:r>
      <w:r w:rsidRPr="002836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D47F82" w14:textId="77777777" w:rsidR="000C470E" w:rsidRPr="0028364C" w:rsidRDefault="000C470E" w:rsidP="009A3373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FBB575" w14:textId="3D1189BB" w:rsidR="009A3373" w:rsidRPr="0028364C" w:rsidRDefault="000C470E" w:rsidP="009A3373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64C">
        <w:rPr>
          <w:rFonts w:ascii="Times New Roman" w:hAnsi="Times New Roman" w:cs="Times New Roman"/>
          <w:sz w:val="24"/>
          <w:szCs w:val="24"/>
        </w:rPr>
        <w:t>A KTSZ t</w:t>
      </w:r>
      <w:r w:rsidR="009A3373" w:rsidRPr="0028364C">
        <w:rPr>
          <w:rFonts w:ascii="Times New Roman" w:hAnsi="Times New Roman" w:cs="Times New Roman"/>
          <w:sz w:val="24"/>
          <w:szCs w:val="24"/>
        </w:rPr>
        <w:t>ovábbi feladata</w:t>
      </w:r>
      <w:r w:rsidR="001E4B5E" w:rsidRPr="0028364C">
        <w:rPr>
          <w:rFonts w:ascii="Times New Roman" w:hAnsi="Times New Roman" w:cs="Times New Roman"/>
          <w:sz w:val="24"/>
          <w:szCs w:val="24"/>
        </w:rPr>
        <w:t>, hogy</w:t>
      </w:r>
      <w:r w:rsidR="009A3373" w:rsidRPr="0028364C">
        <w:rPr>
          <w:rFonts w:ascii="Times New Roman" w:hAnsi="Times New Roman" w:cs="Times New Roman"/>
          <w:sz w:val="24"/>
          <w:szCs w:val="24"/>
        </w:rPr>
        <w:t xml:space="preserve"> az első negyedév utolsó napján </w:t>
      </w:r>
      <w:r w:rsidRPr="0028364C">
        <w:rPr>
          <w:rFonts w:ascii="Times New Roman" w:hAnsi="Times New Roman" w:cs="Times New Roman"/>
          <w:sz w:val="24"/>
          <w:szCs w:val="24"/>
        </w:rPr>
        <w:t xml:space="preserve">ismert, előző évi </w:t>
      </w:r>
      <w:r w:rsidR="009A3373" w:rsidRPr="0028364C">
        <w:rPr>
          <w:rFonts w:ascii="Times New Roman" w:hAnsi="Times New Roman" w:cs="Times New Roman"/>
          <w:sz w:val="24"/>
          <w:szCs w:val="24"/>
        </w:rPr>
        <w:t xml:space="preserve">előzetes, nem auditált számok alapján </w:t>
      </w:r>
      <w:r w:rsidRPr="0028364C">
        <w:rPr>
          <w:rFonts w:ascii="Times New Roman" w:hAnsi="Times New Roman" w:cs="Times New Roman"/>
          <w:sz w:val="24"/>
          <w:szCs w:val="24"/>
        </w:rPr>
        <w:t xml:space="preserve">kiszámítsa az előző évre érvényes teljesítmény értékelési és mozgóbérezési rendszerben alkalmazott mutatók aktuális értékét. </w:t>
      </w:r>
      <w:r w:rsidR="008F214A" w:rsidRPr="0028364C">
        <w:rPr>
          <w:rFonts w:ascii="Times New Roman" w:hAnsi="Times New Roman" w:cs="Times New Roman"/>
          <w:sz w:val="24"/>
          <w:szCs w:val="24"/>
        </w:rPr>
        <w:t>A számítás helyességét és tartalmi megfelelőségét külső szakértővel auditáltatni kell.</w:t>
      </w:r>
    </w:p>
    <w:p w14:paraId="18F4D933" w14:textId="12C7E6E4" w:rsidR="00FF3CFE" w:rsidRPr="0028364C" w:rsidRDefault="00FF3CFE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F23F64" w14:textId="043D4762" w:rsidR="00430C6E" w:rsidRPr="0028364C" w:rsidRDefault="0002356E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A Kockázatkezelésnek és a Compliance-nek részt kell venniük a teljesítményjavadalmazási keretek és az azokhoz kapcsolódó kritériumok meghatározásában valamint a javadalmazások megállapításában. Jelezniük kell</w:t>
      </w:r>
      <w:r w:rsidR="00430C6E" w:rsidRPr="0028364C">
        <w:rPr>
          <w:rFonts w:ascii="Times New Roman" w:hAnsi="Times New Roman" w:cs="Times New Roman"/>
          <w:sz w:val="24"/>
          <w:szCs w:val="24"/>
        </w:rPr>
        <w:t xml:space="preserve"> az Igazgatóság felé amennyiben a teljesítményjavadalmazási kereteknek, a hozzájuk kapcsolódó kritériumoknak vagy magának a javadalmazásnak negatív hatása lehet a munkavállalók viselkedésére vagy a folytatott üzleti tevékenység kockázatosságára.</w:t>
      </w:r>
    </w:p>
    <w:p w14:paraId="58C40C9A" w14:textId="77777777" w:rsidR="009614C9" w:rsidRPr="0028364C" w:rsidRDefault="009614C9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lastRenderedPageBreak/>
        <w:t>Az Igazgatóság látja el a jogszabályban és utasításban meghatározott, a Javadalmazási Pol</w:t>
      </w:r>
      <w:r w:rsidR="00186901" w:rsidRPr="0028364C">
        <w:rPr>
          <w:rFonts w:ascii="Times New Roman" w:hAnsi="Times New Roman" w:cs="Times New Roman"/>
          <w:sz w:val="24"/>
          <w:szCs w:val="24"/>
        </w:rPr>
        <w:t>i</w:t>
      </w:r>
      <w:r w:rsidRPr="0028364C">
        <w:rPr>
          <w:rFonts w:ascii="Times New Roman" w:hAnsi="Times New Roman" w:cs="Times New Roman"/>
          <w:sz w:val="24"/>
          <w:szCs w:val="24"/>
        </w:rPr>
        <w:t>tikával kapcsolatos ellenőrzési és végrehajtási feladatokat, így különösen:</w:t>
      </w:r>
    </w:p>
    <w:p w14:paraId="74245E63" w14:textId="77777777" w:rsidR="00920CEE" w:rsidRPr="0028364C" w:rsidRDefault="00920CEE" w:rsidP="00920CEE">
      <w:pPr>
        <w:pStyle w:val="Listaszerbekezds"/>
        <w:numPr>
          <w:ilvl w:val="0"/>
          <w:numId w:val="2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felügyeli javadalmazási rendszer működését, meghatározza teljesítménymutatókat és ellenőrzi azok alakulását, </w:t>
      </w:r>
    </w:p>
    <w:p w14:paraId="3245F221" w14:textId="111AA9A1" w:rsidR="00920CEE" w:rsidRPr="0028364C" w:rsidRDefault="00920CEE" w:rsidP="00920CEE">
      <w:pPr>
        <w:pStyle w:val="Listaszerbekezds"/>
        <w:numPr>
          <w:ilvl w:val="0"/>
          <w:numId w:val="2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ellenőrzi és biztosítja</w:t>
      </w:r>
      <w:r w:rsidR="0028364C">
        <w:rPr>
          <w:rFonts w:ascii="Times New Roman" w:hAnsi="Times New Roman" w:cs="Times New Roman"/>
          <w:sz w:val="24"/>
          <w:szCs w:val="24"/>
        </w:rPr>
        <w:t>,</w:t>
      </w:r>
      <w:r w:rsidRPr="0028364C">
        <w:rPr>
          <w:rFonts w:ascii="Times New Roman" w:hAnsi="Times New Roman" w:cs="Times New Roman"/>
          <w:sz w:val="24"/>
          <w:szCs w:val="24"/>
        </w:rPr>
        <w:t xml:space="preserve"> hogy a Javadalmazási Politika valóban összhangban van-e az intézmény kockázataival, az biztosítja</w:t>
      </w:r>
      <w:r w:rsidR="005C1C87" w:rsidRPr="0028364C">
        <w:rPr>
          <w:rFonts w:ascii="Times New Roman" w:hAnsi="Times New Roman" w:cs="Times New Roman"/>
          <w:sz w:val="24"/>
          <w:szCs w:val="24"/>
        </w:rPr>
        <w:t>-</w:t>
      </w:r>
      <w:r w:rsidRPr="0028364C">
        <w:rPr>
          <w:rFonts w:ascii="Times New Roman" w:hAnsi="Times New Roman" w:cs="Times New Roman"/>
          <w:sz w:val="24"/>
          <w:szCs w:val="24"/>
        </w:rPr>
        <w:t xml:space="preserve">e az intézmény stabil tőke és likviditási helyzetét és megfelelően támogatja a stratégia megvalósulását </w:t>
      </w:r>
    </w:p>
    <w:p w14:paraId="4066A0B3" w14:textId="77777777" w:rsidR="009614C9" w:rsidRPr="0028364C" w:rsidRDefault="009614C9" w:rsidP="002160A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047DE5D0" w14:textId="77777777" w:rsidR="005C1C87" w:rsidRPr="0028364C" w:rsidRDefault="009614C9" w:rsidP="005C1C87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6B22CC" w:rsidRPr="0028364C">
        <w:rPr>
          <w:rFonts w:ascii="Times New Roman" w:hAnsi="Times New Roman" w:cs="Times New Roman"/>
          <w:sz w:val="24"/>
          <w:szCs w:val="24"/>
        </w:rPr>
        <w:t>A Felügyelő Bizottság fogadja el a v</w:t>
      </w:r>
      <w:r w:rsidR="0092473B" w:rsidRPr="0028364C">
        <w:rPr>
          <w:rFonts w:ascii="Times New Roman" w:hAnsi="Times New Roman" w:cs="Times New Roman"/>
          <w:sz w:val="24"/>
          <w:szCs w:val="24"/>
        </w:rPr>
        <w:t>égleges Javadalmazási Politikát</w:t>
      </w:r>
      <w:r w:rsidR="00E60255" w:rsidRPr="0028364C">
        <w:rPr>
          <w:rFonts w:ascii="Times New Roman" w:hAnsi="Times New Roman" w:cs="Times New Roman"/>
          <w:sz w:val="24"/>
          <w:szCs w:val="24"/>
        </w:rPr>
        <w:t>, valamint felel annak felülvizsgálatáért</w:t>
      </w:r>
      <w:r w:rsidR="0092473B" w:rsidRPr="0028364C">
        <w:rPr>
          <w:rFonts w:ascii="Times New Roman" w:hAnsi="Times New Roman" w:cs="Times New Roman"/>
          <w:sz w:val="24"/>
          <w:szCs w:val="24"/>
        </w:rPr>
        <w:t>.</w:t>
      </w:r>
      <w:r w:rsidR="005C1C87" w:rsidRPr="0028364C">
        <w:rPr>
          <w:rFonts w:ascii="Times New Roman" w:hAnsi="Times New Roman" w:cs="Times New Roman"/>
          <w:sz w:val="24"/>
          <w:szCs w:val="24"/>
        </w:rPr>
        <w:t xml:space="preserve"> A Javadalmazási Politika kialakításában és felülvizsgálatában külső szakértő vonható be.</w:t>
      </w:r>
    </w:p>
    <w:p w14:paraId="3EA9CEB8" w14:textId="77777777" w:rsidR="00E60255" w:rsidRPr="0028364C" w:rsidRDefault="00E60255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6C46A9" w14:textId="77777777" w:rsidR="00E60255" w:rsidRPr="0028364C" w:rsidRDefault="00E60255" w:rsidP="009019E6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Bank a Javadalmazási Politikát alátámasztó előterjesztéseket és háttéranyagokat 8 évig megőrzi. </w:t>
      </w:r>
    </w:p>
    <w:p w14:paraId="3BDF7565" w14:textId="77777777" w:rsidR="00B77F4F" w:rsidRDefault="00B77F4F" w:rsidP="00B77F4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6BFA9C96" w14:textId="77777777" w:rsidR="00582330" w:rsidRDefault="00582330" w:rsidP="00B77F4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085607AE" w14:textId="77777777" w:rsidR="00582330" w:rsidRPr="0028364C" w:rsidRDefault="00582330" w:rsidP="00B77F4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06A77FC8" w14:textId="77777777" w:rsidR="00424D1A" w:rsidRPr="0028364C" w:rsidRDefault="001519C5" w:rsidP="009019E6">
      <w:pPr>
        <w:pStyle w:val="Listaszerbekezds"/>
        <w:numPr>
          <w:ilvl w:val="0"/>
          <w:numId w:val="1"/>
        </w:numPr>
        <w:ind w:left="284" w:hanging="28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364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0" w:name="_Toc75937757"/>
      <w:r w:rsidR="009019E6" w:rsidRPr="0028364C">
        <w:rPr>
          <w:rFonts w:ascii="Times New Roman" w:hAnsi="Times New Roman" w:cs="Times New Roman"/>
          <w:b/>
          <w:sz w:val="28"/>
          <w:szCs w:val="28"/>
        </w:rPr>
        <w:t>Záró rendelkezés</w:t>
      </w:r>
      <w:bookmarkEnd w:id="30"/>
    </w:p>
    <w:p w14:paraId="62DDD832" w14:textId="77777777" w:rsidR="00F223C6" w:rsidRPr="0028364C" w:rsidRDefault="00F223C6" w:rsidP="00F223C6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BED5F" w14:textId="50B8A289" w:rsidR="00F223C6" w:rsidRPr="0028364C" w:rsidRDefault="00F223C6" w:rsidP="009019E6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A Javadalmazási Politika </w:t>
      </w:r>
      <w:r w:rsidR="00F14662">
        <w:rPr>
          <w:rFonts w:ascii="Times New Roman" w:hAnsi="Times New Roman" w:cs="Times New Roman"/>
          <w:sz w:val="24"/>
          <w:szCs w:val="24"/>
        </w:rPr>
        <w:t>2021</w:t>
      </w:r>
      <w:r w:rsidR="00CF0CCA">
        <w:rPr>
          <w:rFonts w:ascii="Times New Roman" w:hAnsi="Times New Roman" w:cs="Times New Roman"/>
          <w:sz w:val="24"/>
          <w:szCs w:val="24"/>
        </w:rPr>
        <w:t>.</w:t>
      </w:r>
      <w:r w:rsidR="00615960">
        <w:rPr>
          <w:rFonts w:ascii="Times New Roman" w:hAnsi="Times New Roman" w:cs="Times New Roman"/>
          <w:sz w:val="24"/>
          <w:szCs w:val="24"/>
        </w:rPr>
        <w:t>júl</w:t>
      </w:r>
      <w:r w:rsidR="00C2566C">
        <w:rPr>
          <w:rFonts w:ascii="Times New Roman" w:hAnsi="Times New Roman" w:cs="Times New Roman"/>
          <w:sz w:val="24"/>
          <w:szCs w:val="24"/>
        </w:rPr>
        <w:t xml:space="preserve">ius </w:t>
      </w:r>
      <w:r w:rsidR="00615960">
        <w:rPr>
          <w:rFonts w:ascii="Times New Roman" w:hAnsi="Times New Roman" w:cs="Times New Roman"/>
          <w:sz w:val="24"/>
          <w:szCs w:val="24"/>
        </w:rPr>
        <w:t>01</w:t>
      </w:r>
      <w:r w:rsidR="0028364C">
        <w:rPr>
          <w:rFonts w:ascii="Times New Roman" w:hAnsi="Times New Roman" w:cs="Times New Roman"/>
          <w:sz w:val="24"/>
          <w:szCs w:val="24"/>
        </w:rPr>
        <w:t>-</w:t>
      </w:r>
      <w:r w:rsidR="00DE606F">
        <w:rPr>
          <w:rFonts w:ascii="Times New Roman" w:hAnsi="Times New Roman" w:cs="Times New Roman"/>
          <w:sz w:val="24"/>
          <w:szCs w:val="24"/>
        </w:rPr>
        <w:t>tő</w:t>
      </w:r>
      <w:r w:rsidR="009019E6" w:rsidRPr="0028364C">
        <w:rPr>
          <w:rFonts w:ascii="Times New Roman" w:hAnsi="Times New Roman" w:cs="Times New Roman"/>
          <w:sz w:val="24"/>
          <w:szCs w:val="24"/>
        </w:rPr>
        <w:t xml:space="preserve">l hatályos, ezzel egyidejűleg hatályát veszti a korábbi </w:t>
      </w:r>
      <w:r w:rsidR="00F14662">
        <w:rPr>
          <w:rFonts w:ascii="Times New Roman" w:hAnsi="Times New Roman" w:cs="Times New Roman"/>
          <w:sz w:val="24"/>
          <w:szCs w:val="24"/>
        </w:rPr>
        <w:t>61/2020</w:t>
      </w:r>
      <w:r w:rsidR="00CF0CCA">
        <w:rPr>
          <w:rFonts w:ascii="Times New Roman" w:hAnsi="Times New Roman" w:cs="Times New Roman"/>
          <w:sz w:val="24"/>
          <w:szCs w:val="24"/>
        </w:rPr>
        <w:t>/FB</w:t>
      </w:r>
      <w:r w:rsidR="00D34405" w:rsidRPr="0028364C">
        <w:rPr>
          <w:rFonts w:ascii="Times New Roman" w:hAnsi="Times New Roman" w:cs="Times New Roman"/>
          <w:sz w:val="24"/>
          <w:szCs w:val="24"/>
        </w:rPr>
        <w:t xml:space="preserve"> számú szabályzat.</w:t>
      </w:r>
    </w:p>
    <w:p w14:paraId="0B8E5558" w14:textId="414A9256" w:rsidR="00F223C6" w:rsidRDefault="00F223C6" w:rsidP="009019E6">
      <w:pPr>
        <w:pStyle w:val="BodyText21"/>
        <w:tabs>
          <w:tab w:val="left" w:pos="709"/>
        </w:tabs>
        <w:spacing w:before="120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28364C">
        <w:rPr>
          <w:rFonts w:ascii="Times New Roman" w:eastAsiaTheme="minorEastAsia" w:hAnsi="Times New Roman"/>
          <w:sz w:val="24"/>
          <w:szCs w:val="24"/>
          <w:lang w:eastAsia="en-US"/>
        </w:rPr>
        <w:t xml:space="preserve">Jelen szabályzat felülvizsgálatának </w:t>
      </w:r>
      <w:r w:rsidR="00713A24" w:rsidRPr="0028364C">
        <w:rPr>
          <w:rFonts w:ascii="Times New Roman" w:eastAsiaTheme="minorEastAsia" w:hAnsi="Times New Roman"/>
          <w:sz w:val="24"/>
          <w:szCs w:val="24"/>
          <w:lang w:eastAsia="en-US"/>
        </w:rPr>
        <w:t xml:space="preserve">legkésőbbi </w:t>
      </w:r>
      <w:r w:rsidR="00D34405" w:rsidRPr="0028364C">
        <w:rPr>
          <w:rFonts w:ascii="Times New Roman" w:eastAsiaTheme="minorEastAsia" w:hAnsi="Times New Roman"/>
          <w:sz w:val="24"/>
          <w:szCs w:val="24"/>
          <w:lang w:eastAsia="en-US"/>
        </w:rPr>
        <w:t xml:space="preserve">határideje </w:t>
      </w:r>
      <w:r w:rsidRPr="0028364C">
        <w:rPr>
          <w:rFonts w:ascii="Times New Roman" w:eastAsiaTheme="minorEastAsia" w:hAnsi="Times New Roman"/>
          <w:sz w:val="24"/>
          <w:szCs w:val="24"/>
          <w:lang w:eastAsia="en-US"/>
        </w:rPr>
        <w:t>20</w:t>
      </w:r>
      <w:r w:rsidR="0034341A">
        <w:rPr>
          <w:rFonts w:ascii="Times New Roman" w:eastAsiaTheme="minorEastAsia" w:hAnsi="Times New Roman"/>
          <w:sz w:val="24"/>
          <w:szCs w:val="24"/>
          <w:lang w:eastAsia="en-US"/>
        </w:rPr>
        <w:t>2</w:t>
      </w:r>
      <w:r w:rsidR="00F14662">
        <w:rPr>
          <w:rFonts w:ascii="Times New Roman" w:eastAsiaTheme="minorEastAsia" w:hAnsi="Times New Roman"/>
          <w:sz w:val="24"/>
          <w:szCs w:val="24"/>
          <w:lang w:eastAsia="en-US"/>
        </w:rPr>
        <w:t>2</w:t>
      </w:r>
      <w:r w:rsidR="00C73AAE" w:rsidRPr="0028364C">
        <w:rPr>
          <w:rFonts w:ascii="Times New Roman" w:eastAsiaTheme="minorEastAsia" w:hAnsi="Times New Roman"/>
          <w:sz w:val="24"/>
          <w:szCs w:val="24"/>
          <w:lang w:eastAsia="en-US"/>
        </w:rPr>
        <w:t xml:space="preserve">. </w:t>
      </w:r>
      <w:r w:rsidR="00A86A9D">
        <w:rPr>
          <w:rFonts w:ascii="Times New Roman" w:eastAsiaTheme="minorEastAsia" w:hAnsi="Times New Roman"/>
          <w:sz w:val="24"/>
          <w:szCs w:val="24"/>
          <w:lang w:eastAsia="en-US"/>
        </w:rPr>
        <w:t>június 30</w:t>
      </w:r>
      <w:r w:rsidR="00E60255" w:rsidRPr="0028364C">
        <w:rPr>
          <w:rFonts w:ascii="Times New Roman" w:eastAsiaTheme="minorEastAsia" w:hAnsi="Times New Roman"/>
          <w:sz w:val="24"/>
          <w:szCs w:val="24"/>
          <w:lang w:eastAsia="en-US"/>
        </w:rPr>
        <w:t>.</w:t>
      </w:r>
      <w:r w:rsidR="00D34405" w:rsidRPr="0028364C">
        <w:rPr>
          <w:rFonts w:ascii="Times New Roman" w:eastAsiaTheme="minorEastAsia" w:hAnsi="Times New Roman"/>
          <w:sz w:val="24"/>
          <w:szCs w:val="24"/>
          <w:lang w:eastAsia="en-US"/>
        </w:rPr>
        <w:t xml:space="preserve"> melynek elvégzéséért a HR </w:t>
      </w:r>
      <w:r w:rsidR="00E02678" w:rsidRPr="0028364C">
        <w:rPr>
          <w:rFonts w:ascii="Times New Roman" w:eastAsiaTheme="minorEastAsia" w:hAnsi="Times New Roman"/>
          <w:sz w:val="24"/>
          <w:szCs w:val="24"/>
          <w:lang w:eastAsia="en-US"/>
        </w:rPr>
        <w:t>Osztály</w:t>
      </w:r>
      <w:r w:rsidR="00D34405" w:rsidRPr="0028364C">
        <w:rPr>
          <w:rFonts w:ascii="Times New Roman" w:eastAsiaTheme="minorEastAsia" w:hAnsi="Times New Roman"/>
          <w:sz w:val="24"/>
          <w:szCs w:val="24"/>
          <w:lang w:eastAsia="en-US"/>
        </w:rPr>
        <w:t xml:space="preserve"> a felelős.</w:t>
      </w:r>
    </w:p>
    <w:p w14:paraId="3DEAF0B4" w14:textId="77777777" w:rsidR="00DE606F" w:rsidRDefault="00DE606F" w:rsidP="009019E6">
      <w:pPr>
        <w:pStyle w:val="BodyText21"/>
        <w:tabs>
          <w:tab w:val="left" w:pos="709"/>
        </w:tabs>
        <w:spacing w:before="120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1EFBD43B" w14:textId="77777777" w:rsidR="00582330" w:rsidRDefault="00582330" w:rsidP="00582330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3E09A4CA" w14:textId="2CDD87B8" w:rsidR="00582330" w:rsidRDefault="00582330" w:rsidP="00582330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Győr, </w:t>
      </w:r>
      <w:r w:rsidR="00F14662">
        <w:rPr>
          <w:rFonts w:ascii="Times New Roman" w:hAnsi="Times New Roman" w:cs="Times New Roman"/>
          <w:sz w:val="24"/>
          <w:szCs w:val="24"/>
        </w:rPr>
        <w:t xml:space="preserve">2021. </w:t>
      </w:r>
      <w:r w:rsidR="0059797D">
        <w:rPr>
          <w:rFonts w:ascii="Times New Roman" w:hAnsi="Times New Roman" w:cs="Times New Roman"/>
          <w:sz w:val="24"/>
          <w:szCs w:val="24"/>
        </w:rPr>
        <w:t>június 23.</w:t>
      </w:r>
    </w:p>
    <w:p w14:paraId="1303AC8E" w14:textId="77777777" w:rsidR="00582330" w:rsidRDefault="00582330" w:rsidP="00582330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14:paraId="0EFF8EE4" w14:textId="77777777" w:rsidR="00582330" w:rsidRDefault="00582330" w:rsidP="005823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Készítette:  Dr. Dégay Anett</w:t>
      </w:r>
    </w:p>
    <w:p w14:paraId="7D19895B" w14:textId="4BB1AEB3" w:rsidR="00582330" w:rsidRPr="008C62D8" w:rsidRDefault="00BC7876" w:rsidP="0058233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9797D">
        <w:rPr>
          <w:rFonts w:ascii="Times New Roman" w:hAnsi="Times New Roman" w:cs="Times New Roman"/>
          <w:sz w:val="24"/>
          <w:szCs w:val="24"/>
        </w:rPr>
        <w:t>HR osztály vezető</w:t>
      </w:r>
    </w:p>
    <w:p w14:paraId="4C48F0E3" w14:textId="77777777" w:rsidR="00DE606F" w:rsidRDefault="00DE606F" w:rsidP="009019E6">
      <w:pPr>
        <w:pStyle w:val="BodyText21"/>
        <w:tabs>
          <w:tab w:val="left" w:pos="709"/>
        </w:tabs>
        <w:spacing w:before="120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57B761AB" w14:textId="77777777" w:rsidR="00582330" w:rsidRDefault="00582330" w:rsidP="009019E6">
      <w:pPr>
        <w:pStyle w:val="BodyText21"/>
        <w:tabs>
          <w:tab w:val="left" w:pos="709"/>
        </w:tabs>
        <w:spacing w:before="120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312AAF78" w14:textId="77777777" w:rsidR="00582330" w:rsidRDefault="00582330" w:rsidP="009019E6">
      <w:pPr>
        <w:pStyle w:val="BodyText21"/>
        <w:tabs>
          <w:tab w:val="left" w:pos="709"/>
        </w:tabs>
        <w:spacing w:before="120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46BC86A2" w14:textId="77777777" w:rsidR="00582330" w:rsidRDefault="00582330" w:rsidP="009019E6">
      <w:pPr>
        <w:pStyle w:val="BodyText21"/>
        <w:tabs>
          <w:tab w:val="left" w:pos="709"/>
        </w:tabs>
        <w:spacing w:before="120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155E117F" w14:textId="77777777" w:rsidR="0059797D" w:rsidRDefault="0059797D" w:rsidP="009019E6">
      <w:pPr>
        <w:pStyle w:val="BodyText21"/>
        <w:tabs>
          <w:tab w:val="left" w:pos="709"/>
        </w:tabs>
        <w:spacing w:before="120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54D1EE62" w14:textId="77777777" w:rsidR="0059797D" w:rsidRDefault="0059797D" w:rsidP="009019E6">
      <w:pPr>
        <w:pStyle w:val="BodyText21"/>
        <w:tabs>
          <w:tab w:val="left" w:pos="709"/>
        </w:tabs>
        <w:spacing w:before="120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14B2F6C0" w14:textId="77777777" w:rsidR="0059797D" w:rsidRDefault="0059797D" w:rsidP="009019E6">
      <w:pPr>
        <w:pStyle w:val="BodyText21"/>
        <w:tabs>
          <w:tab w:val="left" w:pos="709"/>
        </w:tabs>
        <w:spacing w:before="120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30B0F2BA" w14:textId="77777777" w:rsidR="0059797D" w:rsidRDefault="0059797D" w:rsidP="009019E6">
      <w:pPr>
        <w:pStyle w:val="BodyText21"/>
        <w:tabs>
          <w:tab w:val="left" w:pos="709"/>
        </w:tabs>
        <w:spacing w:before="120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0F5C8E48" w14:textId="77777777" w:rsidR="0059797D" w:rsidRDefault="0059797D" w:rsidP="009019E6">
      <w:pPr>
        <w:pStyle w:val="BodyText21"/>
        <w:tabs>
          <w:tab w:val="left" w:pos="709"/>
        </w:tabs>
        <w:spacing w:before="120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6CCB2949" w14:textId="77777777" w:rsidR="0059797D" w:rsidRDefault="0059797D" w:rsidP="009019E6">
      <w:pPr>
        <w:pStyle w:val="BodyText21"/>
        <w:tabs>
          <w:tab w:val="left" w:pos="709"/>
        </w:tabs>
        <w:spacing w:before="120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48FBBA26" w14:textId="77777777" w:rsidR="0059797D" w:rsidRDefault="0059797D" w:rsidP="009019E6">
      <w:pPr>
        <w:pStyle w:val="BodyText21"/>
        <w:tabs>
          <w:tab w:val="left" w:pos="709"/>
        </w:tabs>
        <w:spacing w:before="120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7C211B8B" w14:textId="77777777" w:rsidR="0059797D" w:rsidRPr="0028364C" w:rsidRDefault="0059797D" w:rsidP="009019E6">
      <w:pPr>
        <w:pStyle w:val="BodyText21"/>
        <w:tabs>
          <w:tab w:val="left" w:pos="709"/>
        </w:tabs>
        <w:spacing w:before="120"/>
        <w:rPr>
          <w:rFonts w:ascii="Times New Roman" w:eastAsiaTheme="minorEastAsia" w:hAnsi="Times New Roman"/>
          <w:sz w:val="24"/>
          <w:szCs w:val="24"/>
          <w:lang w:eastAsia="en-US"/>
        </w:rPr>
      </w:pPr>
    </w:p>
    <w:p w14:paraId="2E00E392" w14:textId="70543832" w:rsidR="005C3624" w:rsidRPr="0028364C" w:rsidRDefault="004441FC" w:rsidP="009019E6">
      <w:pPr>
        <w:pStyle w:val="BodyText21"/>
        <w:tabs>
          <w:tab w:val="left" w:pos="709"/>
        </w:tabs>
        <w:spacing w:before="120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28364C">
        <w:rPr>
          <w:rFonts w:ascii="Times New Roman" w:eastAsiaTheme="minorEastAsia" w:hAnsi="Times New Roman"/>
          <w:sz w:val="24"/>
          <w:szCs w:val="24"/>
          <w:lang w:eastAsia="en-US"/>
        </w:rPr>
        <w:lastRenderedPageBreak/>
        <w:t>Szabályzat mellékletei</w:t>
      </w:r>
      <w:r w:rsidR="005C3624" w:rsidRPr="0028364C">
        <w:rPr>
          <w:rFonts w:ascii="Times New Roman" w:eastAsiaTheme="minorEastAsia" w:hAnsi="Times New Roman"/>
          <w:sz w:val="24"/>
          <w:szCs w:val="24"/>
          <w:lang w:eastAsia="en-US"/>
        </w:rPr>
        <w:t>:</w:t>
      </w:r>
    </w:p>
    <w:p w14:paraId="6E6CBFF2" w14:textId="77777777" w:rsidR="00F223C6" w:rsidRPr="0028364C" w:rsidRDefault="00F223C6" w:rsidP="00F223C6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E7CB1" w14:textId="322875E7" w:rsidR="005C3624" w:rsidRPr="0028364C" w:rsidRDefault="005C3624" w:rsidP="008C62D8">
      <w:pPr>
        <w:pStyle w:val="Listaszerbekezds"/>
        <w:numPr>
          <w:ilvl w:val="0"/>
          <w:numId w:val="29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1.sz.: </w:t>
      </w:r>
      <w:r w:rsidR="008C62D8">
        <w:rPr>
          <w:rFonts w:ascii="Times New Roman" w:hAnsi="Times New Roman" w:cs="Times New Roman"/>
          <w:sz w:val="24"/>
          <w:szCs w:val="24"/>
        </w:rPr>
        <w:tab/>
      </w:r>
      <w:r w:rsidRPr="0028364C">
        <w:rPr>
          <w:rFonts w:ascii="Times New Roman" w:hAnsi="Times New Roman" w:cs="Times New Roman"/>
          <w:sz w:val="24"/>
          <w:szCs w:val="24"/>
        </w:rPr>
        <w:t xml:space="preserve">Duna </w:t>
      </w:r>
      <w:r w:rsidR="0034341A">
        <w:rPr>
          <w:rFonts w:ascii="Times New Roman" w:hAnsi="Times New Roman" w:cs="Times New Roman"/>
          <w:sz w:val="24"/>
          <w:szCs w:val="24"/>
        </w:rPr>
        <w:t>T</w:t>
      </w:r>
      <w:r w:rsidRPr="0028364C">
        <w:rPr>
          <w:rFonts w:ascii="Times New Roman" w:hAnsi="Times New Roman" w:cs="Times New Roman"/>
          <w:sz w:val="24"/>
          <w:szCs w:val="24"/>
        </w:rPr>
        <w:t>akarék Bank Zrt. arányosság elvének alkalmazása</w:t>
      </w:r>
    </w:p>
    <w:p w14:paraId="15922A7E" w14:textId="15E598E4" w:rsidR="00A35659" w:rsidRPr="0028364C" w:rsidRDefault="005C3624" w:rsidP="008C62D8">
      <w:pPr>
        <w:pStyle w:val="Listaszerbekezds"/>
        <w:numPr>
          <w:ilvl w:val="0"/>
          <w:numId w:val="29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2.sz. </w:t>
      </w:r>
      <w:r w:rsidR="008C62D8">
        <w:rPr>
          <w:rFonts w:ascii="Times New Roman" w:hAnsi="Times New Roman" w:cs="Times New Roman"/>
          <w:sz w:val="24"/>
          <w:szCs w:val="24"/>
        </w:rPr>
        <w:tab/>
      </w:r>
      <w:r w:rsidR="00A35659" w:rsidRPr="0028364C">
        <w:rPr>
          <w:rFonts w:ascii="Times New Roman" w:hAnsi="Times New Roman" w:cs="Times New Roman"/>
          <w:sz w:val="24"/>
          <w:szCs w:val="24"/>
        </w:rPr>
        <w:t xml:space="preserve">A Duna Takarék Bank Zrt. </w:t>
      </w:r>
      <w:r w:rsidR="000E5A62" w:rsidRPr="0028364C">
        <w:rPr>
          <w:rFonts w:ascii="Times New Roman" w:hAnsi="Times New Roman" w:cs="Times New Roman"/>
          <w:sz w:val="24"/>
          <w:szCs w:val="24"/>
        </w:rPr>
        <w:t xml:space="preserve">azonosított </w:t>
      </w:r>
      <w:r w:rsidR="008C62D8">
        <w:rPr>
          <w:rFonts w:ascii="Times New Roman" w:hAnsi="Times New Roman" w:cs="Times New Roman"/>
          <w:sz w:val="24"/>
          <w:szCs w:val="24"/>
        </w:rPr>
        <w:tab/>
      </w:r>
      <w:r w:rsidR="008C62D8">
        <w:rPr>
          <w:rFonts w:ascii="Times New Roman" w:hAnsi="Times New Roman" w:cs="Times New Roman"/>
          <w:sz w:val="24"/>
          <w:szCs w:val="24"/>
        </w:rPr>
        <w:tab/>
      </w:r>
      <w:r w:rsidR="000E5A62" w:rsidRPr="0028364C">
        <w:rPr>
          <w:rFonts w:ascii="Times New Roman" w:hAnsi="Times New Roman" w:cs="Times New Roman"/>
          <w:sz w:val="24"/>
          <w:szCs w:val="24"/>
        </w:rPr>
        <w:t>munkavállalói</w:t>
      </w:r>
      <w:r w:rsidR="00480929" w:rsidRPr="002836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3B9F9" w14:textId="17058871" w:rsidR="005C3624" w:rsidRPr="0028364C" w:rsidRDefault="005C3624" w:rsidP="008C62D8">
      <w:pPr>
        <w:pStyle w:val="Listaszerbekezds"/>
        <w:numPr>
          <w:ilvl w:val="0"/>
          <w:numId w:val="29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 xml:space="preserve">3.sz.: </w:t>
      </w:r>
      <w:r w:rsidR="008C62D8">
        <w:rPr>
          <w:rFonts w:ascii="Times New Roman" w:hAnsi="Times New Roman" w:cs="Times New Roman"/>
          <w:sz w:val="24"/>
          <w:szCs w:val="24"/>
        </w:rPr>
        <w:tab/>
      </w:r>
      <w:r w:rsidR="00A35659" w:rsidRPr="0028364C">
        <w:rPr>
          <w:rFonts w:ascii="Times New Roman" w:hAnsi="Times New Roman" w:cs="Times New Roman"/>
          <w:sz w:val="24"/>
          <w:szCs w:val="24"/>
        </w:rPr>
        <w:t>Duna Takarék Bank Zrt. (DTB) központi teljesítményértékelési és mozgóbére</w:t>
      </w:r>
      <w:r w:rsidR="008C62D8">
        <w:rPr>
          <w:rFonts w:ascii="Times New Roman" w:hAnsi="Times New Roman" w:cs="Times New Roman"/>
          <w:sz w:val="24"/>
          <w:szCs w:val="24"/>
        </w:rPr>
        <w:t>-</w:t>
      </w:r>
      <w:r w:rsidR="008C62D8">
        <w:rPr>
          <w:rFonts w:ascii="Times New Roman" w:hAnsi="Times New Roman" w:cs="Times New Roman"/>
          <w:sz w:val="24"/>
          <w:szCs w:val="24"/>
        </w:rPr>
        <w:tab/>
      </w:r>
      <w:r w:rsidR="008C62D8">
        <w:rPr>
          <w:rFonts w:ascii="Times New Roman" w:hAnsi="Times New Roman" w:cs="Times New Roman"/>
          <w:sz w:val="24"/>
          <w:szCs w:val="24"/>
        </w:rPr>
        <w:tab/>
      </w:r>
      <w:r w:rsidR="00A35659" w:rsidRPr="0028364C">
        <w:rPr>
          <w:rFonts w:ascii="Times New Roman" w:hAnsi="Times New Roman" w:cs="Times New Roman"/>
          <w:sz w:val="24"/>
          <w:szCs w:val="24"/>
        </w:rPr>
        <w:t>zési  rendszerének alapelvei</w:t>
      </w:r>
    </w:p>
    <w:p w14:paraId="5DF03DF8" w14:textId="4A500668" w:rsidR="005C3624" w:rsidRPr="0028364C" w:rsidRDefault="005C3624" w:rsidP="008C62D8">
      <w:pPr>
        <w:pStyle w:val="Listaszerbekezds"/>
        <w:numPr>
          <w:ilvl w:val="0"/>
          <w:numId w:val="29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4.sz.:</w:t>
      </w:r>
      <w:r w:rsidR="008C62D8">
        <w:rPr>
          <w:rFonts w:ascii="Times New Roman" w:hAnsi="Times New Roman" w:cs="Times New Roman"/>
          <w:sz w:val="24"/>
          <w:szCs w:val="24"/>
        </w:rPr>
        <w:tab/>
      </w:r>
      <w:r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A35659" w:rsidRPr="0028364C">
        <w:rPr>
          <w:rFonts w:ascii="Times New Roman" w:hAnsi="Times New Roman" w:cs="Times New Roman"/>
          <w:sz w:val="24"/>
          <w:szCs w:val="24"/>
        </w:rPr>
        <w:t>Egyéni ösztönzési lapok</w:t>
      </w:r>
    </w:p>
    <w:p w14:paraId="06998216" w14:textId="24271EFF" w:rsidR="005C3624" w:rsidRPr="0028364C" w:rsidRDefault="004441FC" w:rsidP="008C62D8">
      <w:pPr>
        <w:pStyle w:val="Listaszerbekezds"/>
        <w:numPr>
          <w:ilvl w:val="0"/>
          <w:numId w:val="29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sz w:val="24"/>
          <w:szCs w:val="24"/>
        </w:rPr>
        <w:t>5.sz.:</w:t>
      </w:r>
      <w:r w:rsidR="00A35659" w:rsidRPr="0028364C">
        <w:rPr>
          <w:rFonts w:ascii="Times New Roman" w:hAnsi="Times New Roman" w:cs="Times New Roman"/>
          <w:sz w:val="24"/>
          <w:szCs w:val="24"/>
        </w:rPr>
        <w:t xml:space="preserve"> </w:t>
      </w:r>
      <w:r w:rsidR="008C62D8">
        <w:rPr>
          <w:rFonts w:ascii="Times New Roman" w:hAnsi="Times New Roman" w:cs="Times New Roman"/>
          <w:sz w:val="24"/>
          <w:szCs w:val="24"/>
        </w:rPr>
        <w:tab/>
      </w:r>
      <w:r w:rsidR="00A35659" w:rsidRPr="0028364C">
        <w:rPr>
          <w:rFonts w:ascii="Times New Roman" w:hAnsi="Times New Roman" w:cs="Times New Roman"/>
          <w:sz w:val="24"/>
          <w:szCs w:val="24"/>
        </w:rPr>
        <w:t xml:space="preserve">Duna Kavics egyéni érdekeltségi ösztönző rendszer ügyvezetői utasítás </w:t>
      </w:r>
      <w:r w:rsidR="008C62D8">
        <w:rPr>
          <w:rFonts w:ascii="Times New Roman" w:hAnsi="Times New Roman" w:cs="Times New Roman"/>
          <w:sz w:val="24"/>
          <w:szCs w:val="24"/>
        </w:rPr>
        <w:tab/>
      </w:r>
      <w:r w:rsidR="008C62D8">
        <w:rPr>
          <w:rFonts w:ascii="Times New Roman" w:hAnsi="Times New Roman" w:cs="Times New Roman"/>
          <w:sz w:val="24"/>
          <w:szCs w:val="24"/>
        </w:rPr>
        <w:tab/>
      </w:r>
      <w:r w:rsidR="008C62D8">
        <w:rPr>
          <w:rFonts w:ascii="Times New Roman" w:hAnsi="Times New Roman" w:cs="Times New Roman"/>
          <w:sz w:val="24"/>
          <w:szCs w:val="24"/>
        </w:rPr>
        <w:tab/>
      </w:r>
      <w:r w:rsidR="00A35659" w:rsidRPr="00194D3B">
        <w:rPr>
          <w:rFonts w:ascii="Times New Roman" w:hAnsi="Times New Roman" w:cs="Times New Roman"/>
          <w:sz w:val="24"/>
          <w:szCs w:val="24"/>
        </w:rPr>
        <w:t>(</w:t>
      </w:r>
      <w:r w:rsidR="00194D3B" w:rsidRPr="00AC7C2E">
        <w:rPr>
          <w:rFonts w:ascii="Times New Roman" w:hAnsi="Times New Roman" w:cs="Times New Roman"/>
          <w:bCs/>
        </w:rPr>
        <w:t>19/2021/</w:t>
      </w:r>
      <w:r w:rsidR="00A35659" w:rsidRPr="0028364C">
        <w:rPr>
          <w:rFonts w:ascii="Times New Roman" w:hAnsi="Times New Roman" w:cs="Times New Roman"/>
          <w:bCs/>
          <w:sz w:val="24"/>
          <w:szCs w:val="24"/>
        </w:rPr>
        <w:t>/ÜV)</w:t>
      </w:r>
    </w:p>
    <w:p w14:paraId="579FDBDA" w14:textId="2E874BEA" w:rsidR="00B7212F" w:rsidRPr="00CF0CCA" w:rsidRDefault="00B7212F" w:rsidP="008C62D8">
      <w:pPr>
        <w:pStyle w:val="Listaszerbekezds"/>
        <w:numPr>
          <w:ilvl w:val="0"/>
          <w:numId w:val="29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28364C">
        <w:rPr>
          <w:rFonts w:ascii="Times New Roman" w:hAnsi="Times New Roman" w:cs="Times New Roman"/>
          <w:bCs/>
          <w:sz w:val="24"/>
          <w:szCs w:val="24"/>
        </w:rPr>
        <w:t xml:space="preserve">6.sz.: </w:t>
      </w:r>
      <w:r w:rsidR="008C62D8">
        <w:rPr>
          <w:rFonts w:ascii="Times New Roman" w:hAnsi="Times New Roman" w:cs="Times New Roman"/>
          <w:bCs/>
          <w:sz w:val="24"/>
          <w:szCs w:val="24"/>
        </w:rPr>
        <w:tab/>
      </w:r>
      <w:r w:rsidRPr="0028364C">
        <w:rPr>
          <w:rFonts w:ascii="Times New Roman" w:hAnsi="Times New Roman" w:cs="Times New Roman"/>
          <w:bCs/>
          <w:sz w:val="24"/>
          <w:szCs w:val="24"/>
        </w:rPr>
        <w:t>A teljesítményértékelés folyamatának feladatai és annak menetrendje</w:t>
      </w:r>
    </w:p>
    <w:p w14:paraId="72DFB7CB" w14:textId="077F2CB1" w:rsidR="00CF0CCA" w:rsidRPr="008C62D8" w:rsidRDefault="00CF0CCA" w:rsidP="00F62262">
      <w:pPr>
        <w:pStyle w:val="Listaszerbekezds"/>
        <w:numPr>
          <w:ilvl w:val="0"/>
          <w:numId w:val="29"/>
        </w:numPr>
        <w:tabs>
          <w:tab w:val="left" w:pos="851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7.sz.:</w:t>
      </w:r>
      <w:r>
        <w:rPr>
          <w:rFonts w:ascii="Times New Roman" w:hAnsi="Times New Roman" w:cs="Times New Roman"/>
          <w:bCs/>
          <w:sz w:val="24"/>
          <w:szCs w:val="24"/>
        </w:rPr>
        <w:tab/>
        <w:t>J</w:t>
      </w:r>
      <w:r w:rsidRPr="00CF0CCA">
        <w:rPr>
          <w:rFonts w:ascii="Times New Roman" w:hAnsi="Times New Roman" w:cs="Times New Roman"/>
          <w:bCs/>
          <w:sz w:val="24"/>
          <w:szCs w:val="24"/>
        </w:rPr>
        <w:t xml:space="preserve">avadalmazási méréshez kötődő eredmény, értékesítési és kockázati mutatók </w:t>
      </w:r>
      <w:r w:rsidR="00F6226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CF0CCA">
        <w:rPr>
          <w:rFonts w:ascii="Times New Roman" w:hAnsi="Times New Roman" w:cs="Times New Roman"/>
          <w:bCs/>
          <w:sz w:val="24"/>
          <w:szCs w:val="24"/>
        </w:rPr>
        <w:t>tartalmának leírása, kiszámítása</w:t>
      </w:r>
    </w:p>
    <w:p w14:paraId="3F9B68A2" w14:textId="77777777" w:rsidR="008C62D8" w:rsidRDefault="008C62D8" w:rsidP="008C62D8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sectPr w:rsidR="008C62D8" w:rsidSect="004916BF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2E8C3" w14:textId="77777777" w:rsidR="00A45F72" w:rsidRDefault="00A45F72" w:rsidP="006A33D8">
      <w:pPr>
        <w:spacing w:after="0" w:line="240" w:lineRule="auto"/>
      </w:pPr>
      <w:r>
        <w:separator/>
      </w:r>
    </w:p>
  </w:endnote>
  <w:endnote w:type="continuationSeparator" w:id="0">
    <w:p w14:paraId="782E04C6" w14:textId="77777777" w:rsidR="00A45F72" w:rsidRDefault="00A45F72" w:rsidP="006A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YInterstate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4857608"/>
      <w:docPartObj>
        <w:docPartGallery w:val="Page Numbers (Bottom of Page)"/>
        <w:docPartUnique/>
      </w:docPartObj>
    </w:sdtPr>
    <w:sdtEndPr/>
    <w:sdtContent>
      <w:p w14:paraId="65F7A6BA" w14:textId="4722ED5D" w:rsidR="00C04770" w:rsidRDefault="00C0477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A44">
          <w:rPr>
            <w:noProof/>
          </w:rPr>
          <w:t>11</w:t>
        </w:r>
        <w:r>
          <w:fldChar w:fldCharType="end"/>
        </w:r>
      </w:p>
    </w:sdtContent>
  </w:sdt>
  <w:p w14:paraId="6636B0E2" w14:textId="3200DBA9" w:rsidR="009019E6" w:rsidRPr="006A33D8" w:rsidRDefault="009019E6" w:rsidP="006A33D8">
    <w:pPr>
      <w:pStyle w:val="llb"/>
      <w:pBdr>
        <w:top w:val="single" w:sz="4" w:space="1" w:color="auto"/>
      </w:pBdr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9860885"/>
      <w:docPartObj>
        <w:docPartGallery w:val="Page Numbers (Bottom of Page)"/>
        <w:docPartUnique/>
      </w:docPartObj>
    </w:sdtPr>
    <w:sdtEndPr/>
    <w:sdtContent>
      <w:p w14:paraId="5B5EB848" w14:textId="77777777" w:rsidR="003B459D" w:rsidRDefault="003B459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A44">
          <w:rPr>
            <w:noProof/>
          </w:rPr>
          <w:t>1</w:t>
        </w:r>
        <w:r>
          <w:fldChar w:fldCharType="end"/>
        </w:r>
      </w:p>
    </w:sdtContent>
  </w:sdt>
  <w:p w14:paraId="5BD08A74" w14:textId="77777777" w:rsidR="003B459D" w:rsidRDefault="003B45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F2819" w14:textId="77777777" w:rsidR="00A45F72" w:rsidRDefault="00A45F72" w:rsidP="006A33D8">
      <w:pPr>
        <w:spacing w:after="0" w:line="240" w:lineRule="auto"/>
      </w:pPr>
      <w:r>
        <w:separator/>
      </w:r>
    </w:p>
  </w:footnote>
  <w:footnote w:type="continuationSeparator" w:id="0">
    <w:p w14:paraId="4D54B58A" w14:textId="77777777" w:rsidR="00A45F72" w:rsidRDefault="00A45F72" w:rsidP="006A33D8">
      <w:pPr>
        <w:spacing w:after="0" w:line="240" w:lineRule="auto"/>
      </w:pPr>
      <w:r>
        <w:continuationSeparator/>
      </w:r>
    </w:p>
  </w:footnote>
  <w:footnote w:id="1">
    <w:p w14:paraId="25D456B7" w14:textId="77777777" w:rsidR="00504BB5" w:rsidRPr="00C73AAE" w:rsidRDefault="00504BB5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A Bank jelentősnek az 5 millió Ft-ot meghaladó olyan veszteséget tekinti, amely a normál üzleti működés során, tranzakcióból vagy annak lebonyolításából származik. A kettős szankcionálás elkerülése érdekében, ebben az értelemben nem tekintendő veszteségnek a hatósági bírság.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4CD77" w14:textId="6333B3BD" w:rsidR="009019E6" w:rsidRPr="006A33D8" w:rsidRDefault="009019E6" w:rsidP="006A33D8">
    <w:pPr>
      <w:pStyle w:val="lfej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 w:rsidRPr="006A33D8">
      <w:rPr>
        <w:rFonts w:ascii="Times New Roman" w:hAnsi="Times New Roman" w:cs="Times New Roman"/>
        <w:sz w:val="24"/>
        <w:szCs w:val="24"/>
      </w:rPr>
      <w:t>Javadalmazási Politika</w:t>
    </w:r>
    <w:r w:rsidRPr="006A33D8">
      <w:rPr>
        <w:rFonts w:ascii="Times New Roman" w:hAnsi="Times New Roman" w:cs="Times New Roman"/>
        <w:sz w:val="24"/>
        <w:szCs w:val="24"/>
      </w:rPr>
      <w:tab/>
    </w:r>
    <w:r w:rsidRPr="006A33D8">
      <w:rPr>
        <w:rFonts w:ascii="Times New Roman" w:hAnsi="Times New Roman" w:cs="Times New Roman"/>
        <w:sz w:val="24"/>
        <w:szCs w:val="24"/>
      </w:rPr>
      <w:tab/>
      <w:t xml:space="preserve">Hatályos: </w:t>
    </w:r>
    <w:r w:rsidR="0088331C">
      <w:rPr>
        <w:rFonts w:ascii="Times New Roman" w:hAnsi="Times New Roman" w:cs="Times New Roman"/>
        <w:sz w:val="24"/>
        <w:szCs w:val="24"/>
      </w:rPr>
      <w:t xml:space="preserve">2021. </w:t>
    </w:r>
    <w:r w:rsidR="004A228C">
      <w:rPr>
        <w:rFonts w:ascii="Times New Roman" w:hAnsi="Times New Roman" w:cs="Times New Roman"/>
        <w:sz w:val="24"/>
        <w:szCs w:val="24"/>
      </w:rPr>
      <w:t>július 01</w:t>
    </w:r>
    <w:r w:rsidR="000F4B51">
      <w:rPr>
        <w:rFonts w:ascii="Times New Roman" w:hAnsi="Times New Roman" w:cs="Times New Roman"/>
        <w:sz w:val="24"/>
        <w:szCs w:val="24"/>
      </w:rPr>
      <w:t>-</w:t>
    </w:r>
    <w:r w:rsidRPr="006A33D8">
      <w:rPr>
        <w:rFonts w:ascii="Times New Roman" w:hAnsi="Times New Roman" w:cs="Times New Roman"/>
        <w:sz w:val="24"/>
        <w:szCs w:val="24"/>
      </w:rPr>
      <w:t>t</w:t>
    </w:r>
    <w:r w:rsidR="00D221B0">
      <w:rPr>
        <w:rFonts w:ascii="Times New Roman" w:hAnsi="Times New Roman" w:cs="Times New Roman"/>
        <w:sz w:val="24"/>
        <w:szCs w:val="24"/>
      </w:rPr>
      <w:t>ő</w:t>
    </w:r>
    <w:r w:rsidRPr="006A33D8">
      <w:rPr>
        <w:rFonts w:ascii="Times New Roman" w:hAnsi="Times New Roman" w:cs="Times New Roman"/>
        <w:sz w:val="24"/>
        <w:szCs w:val="24"/>
      </w:rPr>
      <w:t>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DF1"/>
    <w:multiLevelType w:val="hybridMultilevel"/>
    <w:tmpl w:val="A126DA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58C"/>
    <w:multiLevelType w:val="hybridMultilevel"/>
    <w:tmpl w:val="FAA8C5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B138C"/>
    <w:multiLevelType w:val="hybridMultilevel"/>
    <w:tmpl w:val="7D327E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56A87"/>
    <w:multiLevelType w:val="hybridMultilevel"/>
    <w:tmpl w:val="1ED2B9C0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0E649A5"/>
    <w:multiLevelType w:val="hybridMultilevel"/>
    <w:tmpl w:val="83E2DAEA"/>
    <w:lvl w:ilvl="0" w:tplc="CBFCF724">
      <w:start w:val="1"/>
      <w:numFmt w:val="lowerLetter"/>
      <w:lvlText w:val="%1.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B956A5B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963606"/>
    <w:multiLevelType w:val="hybridMultilevel"/>
    <w:tmpl w:val="6CCA1ED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BBE5D75"/>
    <w:multiLevelType w:val="hybridMultilevel"/>
    <w:tmpl w:val="175A4A4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9CB6FD9"/>
    <w:multiLevelType w:val="hybridMultilevel"/>
    <w:tmpl w:val="69845D78"/>
    <w:lvl w:ilvl="0" w:tplc="040E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8" w15:restartNumberingAfterBreak="0">
    <w:nsid w:val="3A260283"/>
    <w:multiLevelType w:val="hybridMultilevel"/>
    <w:tmpl w:val="670E0A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47BC707E">
      <w:start w:val="1"/>
      <w:numFmt w:val="decimal"/>
      <w:lvlText w:val="4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94C02"/>
    <w:multiLevelType w:val="hybridMultilevel"/>
    <w:tmpl w:val="4DEA9FFE"/>
    <w:lvl w:ilvl="0" w:tplc="040E000F">
      <w:start w:val="1"/>
      <w:numFmt w:val="decimal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0D03B40"/>
    <w:multiLevelType w:val="hybridMultilevel"/>
    <w:tmpl w:val="92122F1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F4631B"/>
    <w:multiLevelType w:val="hybridMultilevel"/>
    <w:tmpl w:val="A56A80E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2631286"/>
    <w:multiLevelType w:val="hybridMultilevel"/>
    <w:tmpl w:val="A2F293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E48DC"/>
    <w:multiLevelType w:val="hybridMultilevel"/>
    <w:tmpl w:val="A9546FE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778174C"/>
    <w:multiLevelType w:val="hybridMultilevel"/>
    <w:tmpl w:val="F74E2100"/>
    <w:lvl w:ilvl="0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498665A4"/>
    <w:multiLevelType w:val="hybridMultilevel"/>
    <w:tmpl w:val="251C1D1C"/>
    <w:lvl w:ilvl="0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49C97196"/>
    <w:multiLevelType w:val="hybridMultilevel"/>
    <w:tmpl w:val="C78247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DB8493B"/>
    <w:multiLevelType w:val="hybridMultilevel"/>
    <w:tmpl w:val="62A6113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FB779D"/>
    <w:multiLevelType w:val="hybridMultilevel"/>
    <w:tmpl w:val="D3784C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B66BF"/>
    <w:multiLevelType w:val="hybridMultilevel"/>
    <w:tmpl w:val="2DD00A0E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30A7A50">
      <w:numFmt w:val="bullet"/>
      <w:lvlText w:val="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AC64D2"/>
    <w:multiLevelType w:val="hybridMultilevel"/>
    <w:tmpl w:val="3CB0B0DC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6E23207"/>
    <w:multiLevelType w:val="multilevel"/>
    <w:tmpl w:val="CE1E11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16517"/>
    <w:multiLevelType w:val="hybridMultilevel"/>
    <w:tmpl w:val="C76C08B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954C0C"/>
    <w:multiLevelType w:val="hybridMultilevel"/>
    <w:tmpl w:val="5A584BC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F3D4F76"/>
    <w:multiLevelType w:val="hybridMultilevel"/>
    <w:tmpl w:val="687AA7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E6090"/>
    <w:multiLevelType w:val="multilevel"/>
    <w:tmpl w:val="7366A6E4"/>
    <w:lvl w:ilvl="0">
      <w:numFmt w:val="bullet"/>
      <w:lvlText w:val="•"/>
      <w:lvlJc w:val="left"/>
      <w:rPr>
        <w:position w:val="-2"/>
        <w:rtl w:val="0"/>
      </w:rPr>
    </w:lvl>
    <w:lvl w:ilvl="1">
      <w:start w:val="1"/>
      <w:numFmt w:val="bullet"/>
      <w:lvlText w:val="•"/>
      <w:lvlJc w:val="left"/>
      <w:rPr>
        <w:position w:val="-2"/>
        <w:rtl w:val="0"/>
      </w:rPr>
    </w:lvl>
    <w:lvl w:ilvl="2">
      <w:start w:val="1"/>
      <w:numFmt w:val="bullet"/>
      <w:lvlText w:val="•"/>
      <w:lvlJc w:val="left"/>
      <w:rPr>
        <w:position w:val="-2"/>
        <w:rtl w:val="0"/>
      </w:rPr>
    </w:lvl>
    <w:lvl w:ilvl="3">
      <w:start w:val="1"/>
      <w:numFmt w:val="bullet"/>
      <w:lvlText w:val="•"/>
      <w:lvlJc w:val="left"/>
      <w:rPr>
        <w:position w:val="-2"/>
        <w:rtl w:val="0"/>
      </w:rPr>
    </w:lvl>
    <w:lvl w:ilvl="4">
      <w:start w:val="1"/>
      <w:numFmt w:val="bullet"/>
      <w:lvlText w:val="•"/>
      <w:lvlJc w:val="left"/>
      <w:rPr>
        <w:position w:val="-2"/>
        <w:rtl w:val="0"/>
      </w:rPr>
    </w:lvl>
    <w:lvl w:ilvl="5">
      <w:start w:val="1"/>
      <w:numFmt w:val="bullet"/>
      <w:lvlText w:val="•"/>
      <w:lvlJc w:val="left"/>
      <w:rPr>
        <w:position w:val="-2"/>
        <w:rtl w:val="0"/>
      </w:rPr>
    </w:lvl>
    <w:lvl w:ilvl="6">
      <w:start w:val="1"/>
      <w:numFmt w:val="bullet"/>
      <w:lvlText w:val="•"/>
      <w:lvlJc w:val="left"/>
      <w:rPr>
        <w:position w:val="-2"/>
        <w:rtl w:val="0"/>
      </w:rPr>
    </w:lvl>
    <w:lvl w:ilvl="7">
      <w:start w:val="1"/>
      <w:numFmt w:val="bullet"/>
      <w:lvlText w:val="•"/>
      <w:lvlJc w:val="left"/>
      <w:rPr>
        <w:position w:val="-2"/>
        <w:rtl w:val="0"/>
      </w:rPr>
    </w:lvl>
    <w:lvl w:ilvl="8">
      <w:start w:val="1"/>
      <w:numFmt w:val="bullet"/>
      <w:lvlText w:val="•"/>
      <w:lvlJc w:val="left"/>
      <w:rPr>
        <w:position w:val="-2"/>
        <w:rtl w:val="0"/>
      </w:rPr>
    </w:lvl>
  </w:abstractNum>
  <w:abstractNum w:abstractNumId="26" w15:restartNumberingAfterBreak="0">
    <w:nsid w:val="74053CEB"/>
    <w:multiLevelType w:val="hybridMultilevel"/>
    <w:tmpl w:val="732A880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6812A5"/>
    <w:multiLevelType w:val="hybridMultilevel"/>
    <w:tmpl w:val="E62491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D49A86">
      <w:start w:val="7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361ED"/>
    <w:multiLevelType w:val="hybridMultilevel"/>
    <w:tmpl w:val="D1EE4318"/>
    <w:lvl w:ilvl="0" w:tplc="C92E98E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9C70EAD"/>
    <w:multiLevelType w:val="hybridMultilevel"/>
    <w:tmpl w:val="5A061A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F3823"/>
    <w:multiLevelType w:val="hybridMultilevel"/>
    <w:tmpl w:val="993E86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81D7A"/>
    <w:multiLevelType w:val="hybridMultilevel"/>
    <w:tmpl w:val="F664E6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4"/>
  </w:num>
  <w:num w:numId="4">
    <w:abstractNumId w:val="6"/>
  </w:num>
  <w:num w:numId="5">
    <w:abstractNumId w:val="21"/>
  </w:num>
  <w:num w:numId="6">
    <w:abstractNumId w:val="1"/>
  </w:num>
  <w:num w:numId="7">
    <w:abstractNumId w:val="5"/>
  </w:num>
  <w:num w:numId="8">
    <w:abstractNumId w:val="13"/>
  </w:num>
  <w:num w:numId="9">
    <w:abstractNumId w:val="7"/>
  </w:num>
  <w:num w:numId="10">
    <w:abstractNumId w:val="24"/>
  </w:num>
  <w:num w:numId="11">
    <w:abstractNumId w:val="28"/>
  </w:num>
  <w:num w:numId="12">
    <w:abstractNumId w:val="16"/>
  </w:num>
  <w:num w:numId="13">
    <w:abstractNumId w:val="9"/>
  </w:num>
  <w:num w:numId="14">
    <w:abstractNumId w:val="20"/>
  </w:num>
  <w:num w:numId="15">
    <w:abstractNumId w:val="12"/>
  </w:num>
  <w:num w:numId="16">
    <w:abstractNumId w:val="30"/>
  </w:num>
  <w:num w:numId="17">
    <w:abstractNumId w:val="26"/>
  </w:num>
  <w:num w:numId="18">
    <w:abstractNumId w:val="10"/>
  </w:num>
  <w:num w:numId="19">
    <w:abstractNumId w:val="22"/>
  </w:num>
  <w:num w:numId="20">
    <w:abstractNumId w:val="25"/>
  </w:num>
  <w:num w:numId="21">
    <w:abstractNumId w:val="17"/>
  </w:num>
  <w:num w:numId="22">
    <w:abstractNumId w:val="15"/>
  </w:num>
  <w:num w:numId="23">
    <w:abstractNumId w:val="14"/>
  </w:num>
  <w:num w:numId="24">
    <w:abstractNumId w:val="27"/>
  </w:num>
  <w:num w:numId="25">
    <w:abstractNumId w:val="23"/>
  </w:num>
  <w:num w:numId="26">
    <w:abstractNumId w:val="3"/>
  </w:num>
  <w:num w:numId="27">
    <w:abstractNumId w:val="18"/>
  </w:num>
  <w:num w:numId="28">
    <w:abstractNumId w:val="11"/>
  </w:num>
  <w:num w:numId="29">
    <w:abstractNumId w:val="29"/>
  </w:num>
  <w:num w:numId="30">
    <w:abstractNumId w:val="2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B3"/>
    <w:rsid w:val="00001917"/>
    <w:rsid w:val="00003151"/>
    <w:rsid w:val="00003C88"/>
    <w:rsid w:val="00004067"/>
    <w:rsid w:val="00006A14"/>
    <w:rsid w:val="00020BDB"/>
    <w:rsid w:val="0002356E"/>
    <w:rsid w:val="0002573C"/>
    <w:rsid w:val="00027393"/>
    <w:rsid w:val="00027A0F"/>
    <w:rsid w:val="000309EE"/>
    <w:rsid w:val="00031FAA"/>
    <w:rsid w:val="00035AC4"/>
    <w:rsid w:val="00036684"/>
    <w:rsid w:val="0003728D"/>
    <w:rsid w:val="00056FD4"/>
    <w:rsid w:val="0006136F"/>
    <w:rsid w:val="00061C87"/>
    <w:rsid w:val="00063299"/>
    <w:rsid w:val="00066DF6"/>
    <w:rsid w:val="00071EC4"/>
    <w:rsid w:val="00084F2C"/>
    <w:rsid w:val="000933F4"/>
    <w:rsid w:val="00096884"/>
    <w:rsid w:val="000A13DD"/>
    <w:rsid w:val="000A4C5E"/>
    <w:rsid w:val="000B0133"/>
    <w:rsid w:val="000B3D82"/>
    <w:rsid w:val="000C0A50"/>
    <w:rsid w:val="000C470E"/>
    <w:rsid w:val="000D78B7"/>
    <w:rsid w:val="000E5A62"/>
    <w:rsid w:val="000F40FC"/>
    <w:rsid w:val="000F4B51"/>
    <w:rsid w:val="000F54F0"/>
    <w:rsid w:val="0010114D"/>
    <w:rsid w:val="001017B4"/>
    <w:rsid w:val="001063F2"/>
    <w:rsid w:val="00117103"/>
    <w:rsid w:val="00120EB0"/>
    <w:rsid w:val="0012387A"/>
    <w:rsid w:val="00127EA9"/>
    <w:rsid w:val="00132FFF"/>
    <w:rsid w:val="0014188D"/>
    <w:rsid w:val="001464D3"/>
    <w:rsid w:val="001519C5"/>
    <w:rsid w:val="00152A1E"/>
    <w:rsid w:val="00153824"/>
    <w:rsid w:val="00167F36"/>
    <w:rsid w:val="0017080C"/>
    <w:rsid w:val="00170CF9"/>
    <w:rsid w:val="001752FB"/>
    <w:rsid w:val="001757F5"/>
    <w:rsid w:val="001776A3"/>
    <w:rsid w:val="00183150"/>
    <w:rsid w:val="0018356C"/>
    <w:rsid w:val="00185F47"/>
    <w:rsid w:val="00186901"/>
    <w:rsid w:val="0019008A"/>
    <w:rsid w:val="00190C5B"/>
    <w:rsid w:val="001923CF"/>
    <w:rsid w:val="00194D3B"/>
    <w:rsid w:val="001A3FB0"/>
    <w:rsid w:val="001A70B3"/>
    <w:rsid w:val="001B0027"/>
    <w:rsid w:val="001B4A85"/>
    <w:rsid w:val="001C0B1B"/>
    <w:rsid w:val="001C3EFE"/>
    <w:rsid w:val="001C6756"/>
    <w:rsid w:val="001D3F3E"/>
    <w:rsid w:val="001E12AD"/>
    <w:rsid w:val="001E3749"/>
    <w:rsid w:val="001E4B5E"/>
    <w:rsid w:val="001E6E64"/>
    <w:rsid w:val="001F5B1B"/>
    <w:rsid w:val="001F62E8"/>
    <w:rsid w:val="00202B52"/>
    <w:rsid w:val="00206D74"/>
    <w:rsid w:val="00211035"/>
    <w:rsid w:val="00212B4E"/>
    <w:rsid w:val="00214F78"/>
    <w:rsid w:val="002160AA"/>
    <w:rsid w:val="00225A44"/>
    <w:rsid w:val="002445C4"/>
    <w:rsid w:val="00251B47"/>
    <w:rsid w:val="002567EC"/>
    <w:rsid w:val="00256C2D"/>
    <w:rsid w:val="00257648"/>
    <w:rsid w:val="00264B02"/>
    <w:rsid w:val="002659F9"/>
    <w:rsid w:val="00266370"/>
    <w:rsid w:val="00267437"/>
    <w:rsid w:val="00270685"/>
    <w:rsid w:val="002759B0"/>
    <w:rsid w:val="00275A67"/>
    <w:rsid w:val="00277D8D"/>
    <w:rsid w:val="0028364C"/>
    <w:rsid w:val="00284108"/>
    <w:rsid w:val="002932E2"/>
    <w:rsid w:val="00297B62"/>
    <w:rsid w:val="002A3CA1"/>
    <w:rsid w:val="002A6CE9"/>
    <w:rsid w:val="002B3F55"/>
    <w:rsid w:val="002B48CD"/>
    <w:rsid w:val="002C1C47"/>
    <w:rsid w:val="002C364F"/>
    <w:rsid w:val="002C71C3"/>
    <w:rsid w:val="002D2C96"/>
    <w:rsid w:val="002D322A"/>
    <w:rsid w:val="002D79A2"/>
    <w:rsid w:val="002E24B4"/>
    <w:rsid w:val="002E5184"/>
    <w:rsid w:val="002E79A6"/>
    <w:rsid w:val="002F0CF9"/>
    <w:rsid w:val="002F354C"/>
    <w:rsid w:val="002F7C6E"/>
    <w:rsid w:val="00307928"/>
    <w:rsid w:val="00314C54"/>
    <w:rsid w:val="00316DD6"/>
    <w:rsid w:val="00320FFF"/>
    <w:rsid w:val="00323A14"/>
    <w:rsid w:val="003256B8"/>
    <w:rsid w:val="0032706A"/>
    <w:rsid w:val="00332374"/>
    <w:rsid w:val="00333228"/>
    <w:rsid w:val="00334554"/>
    <w:rsid w:val="00340CF6"/>
    <w:rsid w:val="0034341A"/>
    <w:rsid w:val="00343A52"/>
    <w:rsid w:val="00343DC9"/>
    <w:rsid w:val="00346CBF"/>
    <w:rsid w:val="003515CA"/>
    <w:rsid w:val="00352E20"/>
    <w:rsid w:val="003616DB"/>
    <w:rsid w:val="003673B8"/>
    <w:rsid w:val="003677DC"/>
    <w:rsid w:val="00371669"/>
    <w:rsid w:val="00376751"/>
    <w:rsid w:val="00384867"/>
    <w:rsid w:val="003908E8"/>
    <w:rsid w:val="0039203C"/>
    <w:rsid w:val="00392988"/>
    <w:rsid w:val="003942BF"/>
    <w:rsid w:val="00395026"/>
    <w:rsid w:val="00397CC1"/>
    <w:rsid w:val="003A047B"/>
    <w:rsid w:val="003A1102"/>
    <w:rsid w:val="003A373B"/>
    <w:rsid w:val="003A660C"/>
    <w:rsid w:val="003A6749"/>
    <w:rsid w:val="003A72E3"/>
    <w:rsid w:val="003B459D"/>
    <w:rsid w:val="003B56A1"/>
    <w:rsid w:val="003B7235"/>
    <w:rsid w:val="003C5EB7"/>
    <w:rsid w:val="003C77CA"/>
    <w:rsid w:val="003D2C42"/>
    <w:rsid w:val="003D2FD1"/>
    <w:rsid w:val="003D3667"/>
    <w:rsid w:val="003D790A"/>
    <w:rsid w:val="003E01E4"/>
    <w:rsid w:val="003E0ECD"/>
    <w:rsid w:val="003E1412"/>
    <w:rsid w:val="003E4255"/>
    <w:rsid w:val="003E59AA"/>
    <w:rsid w:val="00402A33"/>
    <w:rsid w:val="00404F12"/>
    <w:rsid w:val="00405AD9"/>
    <w:rsid w:val="00414A53"/>
    <w:rsid w:val="00415B1C"/>
    <w:rsid w:val="0042482F"/>
    <w:rsid w:val="00424CD8"/>
    <w:rsid w:val="00424D1A"/>
    <w:rsid w:val="00430C6E"/>
    <w:rsid w:val="00430E63"/>
    <w:rsid w:val="00442F8D"/>
    <w:rsid w:val="00443088"/>
    <w:rsid w:val="004439BB"/>
    <w:rsid w:val="004441FC"/>
    <w:rsid w:val="00453D5E"/>
    <w:rsid w:val="00453DEC"/>
    <w:rsid w:val="004661E4"/>
    <w:rsid w:val="004713D9"/>
    <w:rsid w:val="00471BE3"/>
    <w:rsid w:val="0047785C"/>
    <w:rsid w:val="00480929"/>
    <w:rsid w:val="004870B4"/>
    <w:rsid w:val="00490ACA"/>
    <w:rsid w:val="004916BF"/>
    <w:rsid w:val="0049391E"/>
    <w:rsid w:val="004A228C"/>
    <w:rsid w:val="004A3CA6"/>
    <w:rsid w:val="004B1D01"/>
    <w:rsid w:val="004B3383"/>
    <w:rsid w:val="004B5AF0"/>
    <w:rsid w:val="004B6996"/>
    <w:rsid w:val="004B7A0E"/>
    <w:rsid w:val="004C648E"/>
    <w:rsid w:val="004C66C9"/>
    <w:rsid w:val="004D3FF8"/>
    <w:rsid w:val="004D56D6"/>
    <w:rsid w:val="004E170F"/>
    <w:rsid w:val="004E45E9"/>
    <w:rsid w:val="004F38B4"/>
    <w:rsid w:val="004F3B84"/>
    <w:rsid w:val="00504BB5"/>
    <w:rsid w:val="00505DC0"/>
    <w:rsid w:val="00505EA3"/>
    <w:rsid w:val="0051160D"/>
    <w:rsid w:val="00511E76"/>
    <w:rsid w:val="005138B7"/>
    <w:rsid w:val="00515770"/>
    <w:rsid w:val="0051645A"/>
    <w:rsid w:val="005209DE"/>
    <w:rsid w:val="00524078"/>
    <w:rsid w:val="00524585"/>
    <w:rsid w:val="005308C8"/>
    <w:rsid w:val="00530D48"/>
    <w:rsid w:val="00547B22"/>
    <w:rsid w:val="005531E9"/>
    <w:rsid w:val="005537E8"/>
    <w:rsid w:val="005616E7"/>
    <w:rsid w:val="00563917"/>
    <w:rsid w:val="0057437D"/>
    <w:rsid w:val="00582330"/>
    <w:rsid w:val="00583CC6"/>
    <w:rsid w:val="00586F4A"/>
    <w:rsid w:val="005900BF"/>
    <w:rsid w:val="00590302"/>
    <w:rsid w:val="00592017"/>
    <w:rsid w:val="005951B2"/>
    <w:rsid w:val="005965EC"/>
    <w:rsid w:val="0059797D"/>
    <w:rsid w:val="005A64B5"/>
    <w:rsid w:val="005A6CEF"/>
    <w:rsid w:val="005A7570"/>
    <w:rsid w:val="005A7EB1"/>
    <w:rsid w:val="005B495F"/>
    <w:rsid w:val="005B4A58"/>
    <w:rsid w:val="005C1C87"/>
    <w:rsid w:val="005C2435"/>
    <w:rsid w:val="005C2A2F"/>
    <w:rsid w:val="005C3624"/>
    <w:rsid w:val="005D4540"/>
    <w:rsid w:val="005E1AC1"/>
    <w:rsid w:val="005E4C00"/>
    <w:rsid w:val="005E7603"/>
    <w:rsid w:val="005F101A"/>
    <w:rsid w:val="005F41D5"/>
    <w:rsid w:val="00602D76"/>
    <w:rsid w:val="00611542"/>
    <w:rsid w:val="006137FF"/>
    <w:rsid w:val="00615960"/>
    <w:rsid w:val="00622E0F"/>
    <w:rsid w:val="006301FA"/>
    <w:rsid w:val="00630A6A"/>
    <w:rsid w:val="00632A55"/>
    <w:rsid w:val="00641DF2"/>
    <w:rsid w:val="006422AF"/>
    <w:rsid w:val="006455D2"/>
    <w:rsid w:val="006514C7"/>
    <w:rsid w:val="0065186A"/>
    <w:rsid w:val="0065716D"/>
    <w:rsid w:val="00660D79"/>
    <w:rsid w:val="00661E02"/>
    <w:rsid w:val="00662F84"/>
    <w:rsid w:val="00665238"/>
    <w:rsid w:val="00671176"/>
    <w:rsid w:val="006735C6"/>
    <w:rsid w:val="00674257"/>
    <w:rsid w:val="00674813"/>
    <w:rsid w:val="006855D9"/>
    <w:rsid w:val="00693E01"/>
    <w:rsid w:val="006A1CB1"/>
    <w:rsid w:val="006A332C"/>
    <w:rsid w:val="006A33D8"/>
    <w:rsid w:val="006A34CA"/>
    <w:rsid w:val="006B0D8C"/>
    <w:rsid w:val="006B22CC"/>
    <w:rsid w:val="006C01EF"/>
    <w:rsid w:val="006C5074"/>
    <w:rsid w:val="006E63D4"/>
    <w:rsid w:val="006F4A83"/>
    <w:rsid w:val="006F63EF"/>
    <w:rsid w:val="00703049"/>
    <w:rsid w:val="00713086"/>
    <w:rsid w:val="00713A24"/>
    <w:rsid w:val="0071441C"/>
    <w:rsid w:val="00715975"/>
    <w:rsid w:val="00724739"/>
    <w:rsid w:val="00733B7D"/>
    <w:rsid w:val="00736643"/>
    <w:rsid w:val="007373B5"/>
    <w:rsid w:val="00740E56"/>
    <w:rsid w:val="00745782"/>
    <w:rsid w:val="0075704C"/>
    <w:rsid w:val="00771910"/>
    <w:rsid w:val="0077338A"/>
    <w:rsid w:val="00782583"/>
    <w:rsid w:val="00782B1F"/>
    <w:rsid w:val="007871DF"/>
    <w:rsid w:val="0079036A"/>
    <w:rsid w:val="00791A7A"/>
    <w:rsid w:val="00794ED2"/>
    <w:rsid w:val="007A2F76"/>
    <w:rsid w:val="007A347A"/>
    <w:rsid w:val="007A4125"/>
    <w:rsid w:val="007B5FAA"/>
    <w:rsid w:val="007C4E13"/>
    <w:rsid w:val="007D0980"/>
    <w:rsid w:val="007D35FC"/>
    <w:rsid w:val="007D49CE"/>
    <w:rsid w:val="007D7D69"/>
    <w:rsid w:val="007E0874"/>
    <w:rsid w:val="007E5B81"/>
    <w:rsid w:val="007F18D9"/>
    <w:rsid w:val="007F2CF3"/>
    <w:rsid w:val="00804319"/>
    <w:rsid w:val="00810040"/>
    <w:rsid w:val="00812587"/>
    <w:rsid w:val="0081265A"/>
    <w:rsid w:val="008132CD"/>
    <w:rsid w:val="00813BC8"/>
    <w:rsid w:val="00824B18"/>
    <w:rsid w:val="008338F1"/>
    <w:rsid w:val="0084155E"/>
    <w:rsid w:val="008415D8"/>
    <w:rsid w:val="00843158"/>
    <w:rsid w:val="00847291"/>
    <w:rsid w:val="008515C9"/>
    <w:rsid w:val="008551F0"/>
    <w:rsid w:val="0087621C"/>
    <w:rsid w:val="0088331C"/>
    <w:rsid w:val="008839A7"/>
    <w:rsid w:val="00884BFD"/>
    <w:rsid w:val="008877A4"/>
    <w:rsid w:val="0089185B"/>
    <w:rsid w:val="0089520B"/>
    <w:rsid w:val="008A0781"/>
    <w:rsid w:val="008A1714"/>
    <w:rsid w:val="008A2050"/>
    <w:rsid w:val="008B6141"/>
    <w:rsid w:val="008C3784"/>
    <w:rsid w:val="008C62D8"/>
    <w:rsid w:val="008D0565"/>
    <w:rsid w:val="008D625E"/>
    <w:rsid w:val="008D6A8A"/>
    <w:rsid w:val="008D72AB"/>
    <w:rsid w:val="008E0E37"/>
    <w:rsid w:val="008F214A"/>
    <w:rsid w:val="009010ED"/>
    <w:rsid w:val="009019E6"/>
    <w:rsid w:val="0090245E"/>
    <w:rsid w:val="00911DB1"/>
    <w:rsid w:val="009149BC"/>
    <w:rsid w:val="00914B0F"/>
    <w:rsid w:val="00915FEA"/>
    <w:rsid w:val="00920CEE"/>
    <w:rsid w:val="00922DF6"/>
    <w:rsid w:val="009244D0"/>
    <w:rsid w:val="0092473B"/>
    <w:rsid w:val="00924BA9"/>
    <w:rsid w:val="00925327"/>
    <w:rsid w:val="00927FFD"/>
    <w:rsid w:val="00931CFC"/>
    <w:rsid w:val="009412DA"/>
    <w:rsid w:val="00942501"/>
    <w:rsid w:val="009429A2"/>
    <w:rsid w:val="009429F2"/>
    <w:rsid w:val="00944229"/>
    <w:rsid w:val="00944606"/>
    <w:rsid w:val="00945776"/>
    <w:rsid w:val="00954CB8"/>
    <w:rsid w:val="00955841"/>
    <w:rsid w:val="00960F90"/>
    <w:rsid w:val="009614C9"/>
    <w:rsid w:val="00962A98"/>
    <w:rsid w:val="00970D55"/>
    <w:rsid w:val="00985C9C"/>
    <w:rsid w:val="00993227"/>
    <w:rsid w:val="009A3373"/>
    <w:rsid w:val="009A4120"/>
    <w:rsid w:val="009A5352"/>
    <w:rsid w:val="009B5DA6"/>
    <w:rsid w:val="009C21B2"/>
    <w:rsid w:val="009D172A"/>
    <w:rsid w:val="009D25C9"/>
    <w:rsid w:val="009D2711"/>
    <w:rsid w:val="009D4F31"/>
    <w:rsid w:val="009E41C7"/>
    <w:rsid w:val="009F4910"/>
    <w:rsid w:val="00A03A7F"/>
    <w:rsid w:val="00A07497"/>
    <w:rsid w:val="00A10053"/>
    <w:rsid w:val="00A10266"/>
    <w:rsid w:val="00A10E94"/>
    <w:rsid w:val="00A24B5A"/>
    <w:rsid w:val="00A315BB"/>
    <w:rsid w:val="00A323B9"/>
    <w:rsid w:val="00A342E2"/>
    <w:rsid w:val="00A34F74"/>
    <w:rsid w:val="00A35659"/>
    <w:rsid w:val="00A448C3"/>
    <w:rsid w:val="00A45F72"/>
    <w:rsid w:val="00A47FCB"/>
    <w:rsid w:val="00A50117"/>
    <w:rsid w:val="00A502E5"/>
    <w:rsid w:val="00A5292E"/>
    <w:rsid w:val="00A55027"/>
    <w:rsid w:val="00A71DBA"/>
    <w:rsid w:val="00A85586"/>
    <w:rsid w:val="00A86A9D"/>
    <w:rsid w:val="00A9028E"/>
    <w:rsid w:val="00A967A9"/>
    <w:rsid w:val="00AA0BD0"/>
    <w:rsid w:val="00AA21F0"/>
    <w:rsid w:val="00AA3F2C"/>
    <w:rsid w:val="00AA5138"/>
    <w:rsid w:val="00AB64AA"/>
    <w:rsid w:val="00AC1A16"/>
    <w:rsid w:val="00AC4B0D"/>
    <w:rsid w:val="00AC697E"/>
    <w:rsid w:val="00AC7C2E"/>
    <w:rsid w:val="00AD44FF"/>
    <w:rsid w:val="00AD538B"/>
    <w:rsid w:val="00AD6213"/>
    <w:rsid w:val="00AD6981"/>
    <w:rsid w:val="00AD72B5"/>
    <w:rsid w:val="00AE39B0"/>
    <w:rsid w:val="00AF5716"/>
    <w:rsid w:val="00AF7B13"/>
    <w:rsid w:val="00B021AE"/>
    <w:rsid w:val="00B1161C"/>
    <w:rsid w:val="00B16906"/>
    <w:rsid w:val="00B23590"/>
    <w:rsid w:val="00B37012"/>
    <w:rsid w:val="00B3777F"/>
    <w:rsid w:val="00B40543"/>
    <w:rsid w:val="00B42410"/>
    <w:rsid w:val="00B42EDC"/>
    <w:rsid w:val="00B5311A"/>
    <w:rsid w:val="00B53829"/>
    <w:rsid w:val="00B53FE2"/>
    <w:rsid w:val="00B5501F"/>
    <w:rsid w:val="00B6047F"/>
    <w:rsid w:val="00B62FA8"/>
    <w:rsid w:val="00B65A95"/>
    <w:rsid w:val="00B662E0"/>
    <w:rsid w:val="00B71F25"/>
    <w:rsid w:val="00B7212F"/>
    <w:rsid w:val="00B722D1"/>
    <w:rsid w:val="00B77D91"/>
    <w:rsid w:val="00B77F4F"/>
    <w:rsid w:val="00B97E1E"/>
    <w:rsid w:val="00BA0BDD"/>
    <w:rsid w:val="00BA1686"/>
    <w:rsid w:val="00BA2A5E"/>
    <w:rsid w:val="00BA6F3B"/>
    <w:rsid w:val="00BB10A3"/>
    <w:rsid w:val="00BB4D93"/>
    <w:rsid w:val="00BB504B"/>
    <w:rsid w:val="00BC7876"/>
    <w:rsid w:val="00BD253E"/>
    <w:rsid w:val="00BD3C62"/>
    <w:rsid w:val="00BE300D"/>
    <w:rsid w:val="00BE7FF7"/>
    <w:rsid w:val="00C007A9"/>
    <w:rsid w:val="00C04140"/>
    <w:rsid w:val="00C04770"/>
    <w:rsid w:val="00C04949"/>
    <w:rsid w:val="00C065D3"/>
    <w:rsid w:val="00C0689F"/>
    <w:rsid w:val="00C12CD1"/>
    <w:rsid w:val="00C14C2A"/>
    <w:rsid w:val="00C2008A"/>
    <w:rsid w:val="00C22EFD"/>
    <w:rsid w:val="00C2566C"/>
    <w:rsid w:val="00C35839"/>
    <w:rsid w:val="00C37B40"/>
    <w:rsid w:val="00C40FBF"/>
    <w:rsid w:val="00C412F4"/>
    <w:rsid w:val="00C46AEA"/>
    <w:rsid w:val="00C554A5"/>
    <w:rsid w:val="00C57B3A"/>
    <w:rsid w:val="00C725B8"/>
    <w:rsid w:val="00C73AAE"/>
    <w:rsid w:val="00C758DA"/>
    <w:rsid w:val="00C7698C"/>
    <w:rsid w:val="00C7707F"/>
    <w:rsid w:val="00C84632"/>
    <w:rsid w:val="00C9236F"/>
    <w:rsid w:val="00C95665"/>
    <w:rsid w:val="00C95C9A"/>
    <w:rsid w:val="00CB1590"/>
    <w:rsid w:val="00CB188A"/>
    <w:rsid w:val="00CB1DD0"/>
    <w:rsid w:val="00CB294F"/>
    <w:rsid w:val="00CC60DC"/>
    <w:rsid w:val="00CD03F4"/>
    <w:rsid w:val="00CD20A1"/>
    <w:rsid w:val="00CE169D"/>
    <w:rsid w:val="00CE53CB"/>
    <w:rsid w:val="00CE6D08"/>
    <w:rsid w:val="00CF0CCA"/>
    <w:rsid w:val="00CF2E95"/>
    <w:rsid w:val="00CF4EAF"/>
    <w:rsid w:val="00CF6A75"/>
    <w:rsid w:val="00D00A80"/>
    <w:rsid w:val="00D021E8"/>
    <w:rsid w:val="00D04236"/>
    <w:rsid w:val="00D063FE"/>
    <w:rsid w:val="00D12207"/>
    <w:rsid w:val="00D13ED4"/>
    <w:rsid w:val="00D221B0"/>
    <w:rsid w:val="00D2223A"/>
    <w:rsid w:val="00D24C9E"/>
    <w:rsid w:val="00D300CA"/>
    <w:rsid w:val="00D34405"/>
    <w:rsid w:val="00D4215F"/>
    <w:rsid w:val="00D4342E"/>
    <w:rsid w:val="00D4370A"/>
    <w:rsid w:val="00D467CF"/>
    <w:rsid w:val="00D46901"/>
    <w:rsid w:val="00D52032"/>
    <w:rsid w:val="00D526B4"/>
    <w:rsid w:val="00D52871"/>
    <w:rsid w:val="00D5650C"/>
    <w:rsid w:val="00D65849"/>
    <w:rsid w:val="00D67B99"/>
    <w:rsid w:val="00D70DC8"/>
    <w:rsid w:val="00D71B37"/>
    <w:rsid w:val="00D82A18"/>
    <w:rsid w:val="00D9642C"/>
    <w:rsid w:val="00DA06B4"/>
    <w:rsid w:val="00DA0B75"/>
    <w:rsid w:val="00DA498F"/>
    <w:rsid w:val="00DB2807"/>
    <w:rsid w:val="00DC5606"/>
    <w:rsid w:val="00DC7BF5"/>
    <w:rsid w:val="00DD018B"/>
    <w:rsid w:val="00DD2064"/>
    <w:rsid w:val="00DD235E"/>
    <w:rsid w:val="00DD4504"/>
    <w:rsid w:val="00DE0858"/>
    <w:rsid w:val="00DE44B9"/>
    <w:rsid w:val="00DE5607"/>
    <w:rsid w:val="00DE606F"/>
    <w:rsid w:val="00DF21D5"/>
    <w:rsid w:val="00DF3F97"/>
    <w:rsid w:val="00E02678"/>
    <w:rsid w:val="00E03BFC"/>
    <w:rsid w:val="00E07B3D"/>
    <w:rsid w:val="00E13012"/>
    <w:rsid w:val="00E134E5"/>
    <w:rsid w:val="00E1783E"/>
    <w:rsid w:val="00E24122"/>
    <w:rsid w:val="00E26E1E"/>
    <w:rsid w:val="00E33CCC"/>
    <w:rsid w:val="00E353DC"/>
    <w:rsid w:val="00E45D86"/>
    <w:rsid w:val="00E55394"/>
    <w:rsid w:val="00E60255"/>
    <w:rsid w:val="00E65AA9"/>
    <w:rsid w:val="00E70012"/>
    <w:rsid w:val="00E719C6"/>
    <w:rsid w:val="00E756A2"/>
    <w:rsid w:val="00E75D02"/>
    <w:rsid w:val="00E760BF"/>
    <w:rsid w:val="00E77DE3"/>
    <w:rsid w:val="00E80AA8"/>
    <w:rsid w:val="00E85B6E"/>
    <w:rsid w:val="00E876B8"/>
    <w:rsid w:val="00E9214F"/>
    <w:rsid w:val="00E940E7"/>
    <w:rsid w:val="00E94802"/>
    <w:rsid w:val="00E94C1D"/>
    <w:rsid w:val="00EA19F9"/>
    <w:rsid w:val="00EA34A6"/>
    <w:rsid w:val="00EA34CA"/>
    <w:rsid w:val="00EA3E71"/>
    <w:rsid w:val="00EA66C9"/>
    <w:rsid w:val="00EC0974"/>
    <w:rsid w:val="00EC11A7"/>
    <w:rsid w:val="00EC3DAC"/>
    <w:rsid w:val="00EC4CE1"/>
    <w:rsid w:val="00EC705C"/>
    <w:rsid w:val="00EC747D"/>
    <w:rsid w:val="00ED380A"/>
    <w:rsid w:val="00EE0142"/>
    <w:rsid w:val="00EE1B49"/>
    <w:rsid w:val="00EE29F0"/>
    <w:rsid w:val="00EE3EC3"/>
    <w:rsid w:val="00F01E55"/>
    <w:rsid w:val="00F051D7"/>
    <w:rsid w:val="00F14662"/>
    <w:rsid w:val="00F16D74"/>
    <w:rsid w:val="00F20135"/>
    <w:rsid w:val="00F223C6"/>
    <w:rsid w:val="00F22AFC"/>
    <w:rsid w:val="00F32669"/>
    <w:rsid w:val="00F32EDC"/>
    <w:rsid w:val="00F371CD"/>
    <w:rsid w:val="00F40640"/>
    <w:rsid w:val="00F42EAB"/>
    <w:rsid w:val="00F432B0"/>
    <w:rsid w:val="00F43D37"/>
    <w:rsid w:val="00F448F4"/>
    <w:rsid w:val="00F50FCF"/>
    <w:rsid w:val="00F53C6E"/>
    <w:rsid w:val="00F60BCB"/>
    <w:rsid w:val="00F62262"/>
    <w:rsid w:val="00F64BC7"/>
    <w:rsid w:val="00F66E94"/>
    <w:rsid w:val="00F82DC3"/>
    <w:rsid w:val="00F82DD8"/>
    <w:rsid w:val="00F84CB3"/>
    <w:rsid w:val="00F91114"/>
    <w:rsid w:val="00F9267E"/>
    <w:rsid w:val="00F943CA"/>
    <w:rsid w:val="00FB08CF"/>
    <w:rsid w:val="00FB7C9E"/>
    <w:rsid w:val="00FC12A7"/>
    <w:rsid w:val="00FC6753"/>
    <w:rsid w:val="00FD37D6"/>
    <w:rsid w:val="00FE421C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0549BD9"/>
  <w15:docId w15:val="{9170ED27-95E7-4AAC-81F1-B808F107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3624"/>
  </w:style>
  <w:style w:type="paragraph" w:styleId="Cmsor1">
    <w:name w:val="heading 1"/>
    <w:basedOn w:val="Norml"/>
    <w:next w:val="Norml"/>
    <w:link w:val="Cmsor1Char"/>
    <w:uiPriority w:val="9"/>
    <w:qFormat/>
    <w:rsid w:val="0066523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6523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6523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652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652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652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652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652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652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71DF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66523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65238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BE300D"/>
    <w:pPr>
      <w:spacing w:after="100"/>
    </w:pPr>
  </w:style>
  <w:style w:type="character" w:styleId="Hiperhivatkozs">
    <w:name w:val="Hyperlink"/>
    <w:uiPriority w:val="99"/>
    <w:rsid w:val="00BE300D"/>
    <w:rPr>
      <w:rFonts w:cs="Times New Roman"/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652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66523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6523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6523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6523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6523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6523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6523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65238"/>
    <w:pPr>
      <w:spacing w:line="240" w:lineRule="auto"/>
    </w:pPr>
    <w:rPr>
      <w:b/>
      <w:bCs/>
      <w:smallCaps/>
      <w:color w:val="44546A" w:themeColor="text2"/>
    </w:rPr>
  </w:style>
  <w:style w:type="paragraph" w:styleId="Cm">
    <w:name w:val="Title"/>
    <w:basedOn w:val="Norml"/>
    <w:next w:val="Norml"/>
    <w:link w:val="CmChar"/>
    <w:uiPriority w:val="10"/>
    <w:qFormat/>
    <w:rsid w:val="0066523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66523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rsid w:val="0066523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66523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Kiemels2">
    <w:name w:val="Strong"/>
    <w:basedOn w:val="Bekezdsalapbettpusa"/>
    <w:uiPriority w:val="22"/>
    <w:qFormat/>
    <w:rsid w:val="00665238"/>
    <w:rPr>
      <w:b/>
      <w:bCs/>
    </w:rPr>
  </w:style>
  <w:style w:type="character" w:styleId="Kiemels">
    <w:name w:val="Emphasis"/>
    <w:basedOn w:val="Bekezdsalapbettpusa"/>
    <w:uiPriority w:val="20"/>
    <w:qFormat/>
    <w:rsid w:val="00665238"/>
    <w:rPr>
      <w:i/>
      <w:iCs/>
    </w:rPr>
  </w:style>
  <w:style w:type="paragraph" w:styleId="Nincstrkz">
    <w:name w:val="No Spacing"/>
    <w:uiPriority w:val="1"/>
    <w:qFormat/>
    <w:rsid w:val="00665238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66523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665238"/>
    <w:rPr>
      <w:color w:val="44546A" w:themeColor="text2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6523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6523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665238"/>
    <w:rPr>
      <w:i/>
      <w:iCs/>
      <w:color w:val="595959" w:themeColor="text1" w:themeTint="A6"/>
    </w:rPr>
  </w:style>
  <w:style w:type="character" w:styleId="Erskiemels">
    <w:name w:val="Intense Emphasis"/>
    <w:basedOn w:val="Bekezdsalapbettpusa"/>
    <w:uiPriority w:val="21"/>
    <w:qFormat/>
    <w:rsid w:val="00665238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66523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Ershivatkozs">
    <w:name w:val="Intense Reference"/>
    <w:basedOn w:val="Bekezdsalapbettpusa"/>
    <w:uiPriority w:val="32"/>
    <w:qFormat/>
    <w:rsid w:val="00665238"/>
    <w:rPr>
      <w:b/>
      <w:bCs/>
      <w:smallCaps/>
      <w:color w:val="44546A" w:themeColor="text2"/>
      <w:u w:val="single"/>
    </w:rPr>
  </w:style>
  <w:style w:type="character" w:styleId="Knyvcme">
    <w:name w:val="Book Title"/>
    <w:basedOn w:val="Bekezdsalapbettpusa"/>
    <w:uiPriority w:val="33"/>
    <w:qFormat/>
    <w:rsid w:val="00665238"/>
    <w:rPr>
      <w:b/>
      <w:bCs/>
      <w:smallCaps/>
      <w:spacing w:val="10"/>
    </w:rPr>
  </w:style>
  <w:style w:type="paragraph" w:customStyle="1" w:styleId="Default">
    <w:name w:val="Default"/>
    <w:rsid w:val="00AD53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qFormat/>
    <w:rsid w:val="008A0781"/>
    <w:pPr>
      <w:spacing w:before="240" w:after="0" w:line="288" w:lineRule="auto"/>
      <w:ind w:left="720"/>
      <w:contextualSpacing/>
    </w:pPr>
    <w:rPr>
      <w:rFonts w:ascii="EYInterstate Light" w:eastAsia="Times New Roman" w:hAnsi="EYInterstate Light" w:cs="Times New Roman"/>
      <w:szCs w:val="24"/>
      <w:lang w:val="en-US"/>
    </w:rPr>
  </w:style>
  <w:style w:type="paragraph" w:customStyle="1" w:styleId="BodyText21">
    <w:name w:val="Body Text 21"/>
    <w:basedOn w:val="Norml"/>
    <w:rsid w:val="00F223C6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A55027"/>
    <w:pPr>
      <w:spacing w:after="100"/>
      <w:ind w:left="440"/>
    </w:pPr>
  </w:style>
  <w:style w:type="table" w:styleId="Rcsostblzat">
    <w:name w:val="Table Grid"/>
    <w:basedOn w:val="Normltblzat"/>
    <w:uiPriority w:val="39"/>
    <w:rsid w:val="00AE3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7D09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D0980"/>
    <w:rPr>
      <w:rFonts w:ascii="Calibri" w:eastAsia="Times New Roman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D0980"/>
    <w:rPr>
      <w:rFonts w:ascii="Calibri" w:eastAsia="Times New Roman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0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0980"/>
    <w:rPr>
      <w:rFonts w:ascii="Segoe UI" w:hAnsi="Segoe UI" w:cs="Segoe UI"/>
      <w:sz w:val="18"/>
      <w:szCs w:val="18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77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7785C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A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3D8"/>
  </w:style>
  <w:style w:type="paragraph" w:styleId="llb">
    <w:name w:val="footer"/>
    <w:basedOn w:val="Norml"/>
    <w:link w:val="llbChar"/>
    <w:uiPriority w:val="99"/>
    <w:unhideWhenUsed/>
    <w:rsid w:val="006A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3D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E1412"/>
    <w:pPr>
      <w:spacing w:line="240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E1412"/>
    <w:rPr>
      <w:rFonts w:ascii="Calibri" w:eastAsia="Times New Roman" w:hAnsi="Calibri" w:cs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04BB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04BB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04B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0C416-17E1-46C3-A46D-DA85E473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4782</Words>
  <Characters>33000</Characters>
  <Application>Microsoft Office Word</Application>
  <DocSecurity>0</DocSecurity>
  <Lines>275</Lines>
  <Paragraphs>75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Kadala Miklos</dc:creator>
  <cp:lastModifiedBy>Szabó Margaréta</cp:lastModifiedBy>
  <cp:revision>11</cp:revision>
  <cp:lastPrinted>2020-06-09T07:19:00Z</cp:lastPrinted>
  <dcterms:created xsi:type="dcterms:W3CDTF">2021-06-30T07:28:00Z</dcterms:created>
  <dcterms:modified xsi:type="dcterms:W3CDTF">2021-06-30T08:39:00Z</dcterms:modified>
</cp:coreProperties>
</file>